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7D08" w:rsidRDefault="00497D08" w:rsidP="00677F2B">
      <w:pPr>
        <w:pStyle w:val="Sinespaciado"/>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97D08">
      <w:pPr>
        <w:rPr>
          <w:color w:val="000000"/>
        </w:rPr>
      </w:pPr>
    </w:p>
    <w:p w:rsidR="00497D08" w:rsidRDefault="0047283C" w:rsidP="0047283C">
      <w:pPr>
        <w:jc w:val="center"/>
        <w:rPr>
          <w:rFonts w:ascii="Arial" w:hAnsi="Arial"/>
          <w:b/>
          <w:color w:val="000000"/>
          <w:sz w:val="40"/>
          <w:szCs w:val="40"/>
        </w:rPr>
      </w:pPr>
      <w:r w:rsidRPr="0047283C">
        <w:rPr>
          <w:rFonts w:ascii="Arial" w:hAnsi="Arial"/>
          <w:b/>
          <w:color w:val="000000"/>
          <w:sz w:val="40"/>
          <w:szCs w:val="40"/>
        </w:rPr>
        <w:t>ANÁLISIS DE VIABILIDAD AL TETRAZOLIO</w:t>
      </w:r>
    </w:p>
    <w:p w:rsidR="00DB15B9" w:rsidRDefault="00DB15B9" w:rsidP="0047283C">
      <w:pPr>
        <w:jc w:val="center"/>
        <w:rPr>
          <w:rFonts w:ascii="Arial" w:hAnsi="Arial"/>
          <w:b/>
          <w:color w:val="000000"/>
          <w:sz w:val="40"/>
          <w:szCs w:val="40"/>
        </w:rPr>
      </w:pPr>
    </w:p>
    <w:p w:rsidR="00DB15B9" w:rsidRPr="00994DD6" w:rsidRDefault="00DB15B9" w:rsidP="0047283C">
      <w:pPr>
        <w:jc w:val="center"/>
        <w:rPr>
          <w:rFonts w:ascii="Arial" w:hAnsi="Arial"/>
          <w:b/>
          <w:color w:val="000000"/>
          <w:sz w:val="40"/>
          <w:szCs w:val="40"/>
        </w:rPr>
      </w:pPr>
    </w:p>
    <w:p w:rsidR="00CA55A3" w:rsidRPr="00994DD6" w:rsidRDefault="00CA55A3">
      <w:pPr>
        <w:jc w:val="center"/>
        <w:rPr>
          <w:rFonts w:ascii="Arial" w:hAnsi="Arial"/>
          <w:b/>
          <w:color w:val="000000"/>
          <w:sz w:val="40"/>
          <w:szCs w:val="40"/>
        </w:rPr>
      </w:pPr>
    </w:p>
    <w:p w:rsidR="00497D08" w:rsidRPr="00994DD6" w:rsidRDefault="00497D08">
      <w:pPr>
        <w:rPr>
          <w:color w:val="000000"/>
        </w:rPr>
      </w:pPr>
    </w:p>
    <w:p w:rsidR="00497D08" w:rsidRPr="00994DD6" w:rsidRDefault="00497D08">
      <w:pPr>
        <w:rPr>
          <w:color w:val="000000"/>
        </w:rPr>
      </w:pPr>
    </w:p>
    <w:p w:rsidR="00497D08" w:rsidRPr="00994DD6" w:rsidRDefault="00497D08">
      <w:pPr>
        <w:rPr>
          <w:color w:val="000000"/>
        </w:rPr>
      </w:pPr>
    </w:p>
    <w:p w:rsidR="00497D08" w:rsidRPr="00994DD6" w:rsidRDefault="00497D08">
      <w:pPr>
        <w:rPr>
          <w:color w:val="000000"/>
        </w:rPr>
      </w:pPr>
    </w:p>
    <w:p w:rsidR="00497D08" w:rsidRPr="00994DD6" w:rsidRDefault="00497D08">
      <w:pPr>
        <w:rPr>
          <w:color w:val="000000"/>
        </w:rPr>
      </w:pPr>
    </w:p>
    <w:p w:rsidR="00497D08" w:rsidRPr="00994DD6" w:rsidRDefault="00497D08">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36"/>
        <w:gridCol w:w="2835"/>
      </w:tblGrid>
      <w:tr w:rsidR="00181568" w:rsidRPr="00467E89" w:rsidTr="007531D5">
        <w:trPr>
          <w:trHeight w:val="282"/>
          <w:jc w:val="center"/>
        </w:trPr>
        <w:tc>
          <w:tcPr>
            <w:tcW w:w="2929" w:type="dxa"/>
            <w:shd w:val="clear" w:color="auto" w:fill="auto"/>
          </w:tcPr>
          <w:p w:rsidR="00181568" w:rsidRPr="00467E89" w:rsidRDefault="006E3709" w:rsidP="007531D5">
            <w:pPr>
              <w:pStyle w:val="TableParagraph"/>
              <w:spacing w:line="263" w:lineRule="exact"/>
              <w:jc w:val="center"/>
              <w:rPr>
                <w:b/>
                <w:sz w:val="20"/>
                <w:szCs w:val="20"/>
                <w:lang w:val="es-PY"/>
              </w:rPr>
            </w:pPr>
            <w:r>
              <w:rPr>
                <w:b/>
                <w:sz w:val="20"/>
                <w:szCs w:val="20"/>
                <w:lang w:val="es-PY"/>
              </w:rPr>
              <w:t>MODIFIC</w:t>
            </w:r>
            <w:r w:rsidR="00181568" w:rsidRPr="00467E89">
              <w:rPr>
                <w:b/>
                <w:sz w:val="20"/>
                <w:szCs w:val="20"/>
                <w:lang w:val="es-PY"/>
              </w:rPr>
              <w:t>ADO POR</w:t>
            </w:r>
          </w:p>
        </w:tc>
        <w:tc>
          <w:tcPr>
            <w:tcW w:w="2836" w:type="dxa"/>
            <w:shd w:val="clear" w:color="auto" w:fill="auto"/>
          </w:tcPr>
          <w:p w:rsidR="00181568" w:rsidRPr="00467E89" w:rsidRDefault="00181568" w:rsidP="007531D5">
            <w:pPr>
              <w:pStyle w:val="TableParagraph"/>
              <w:spacing w:line="263" w:lineRule="exact"/>
              <w:jc w:val="center"/>
              <w:rPr>
                <w:b/>
                <w:sz w:val="20"/>
                <w:szCs w:val="20"/>
                <w:lang w:val="es-PY"/>
              </w:rPr>
            </w:pPr>
            <w:r w:rsidRPr="00467E89">
              <w:rPr>
                <w:b/>
                <w:sz w:val="20"/>
                <w:szCs w:val="20"/>
                <w:lang w:val="es-PY"/>
              </w:rPr>
              <w:t>VERIFICADO POR</w:t>
            </w:r>
          </w:p>
        </w:tc>
        <w:tc>
          <w:tcPr>
            <w:tcW w:w="2835" w:type="dxa"/>
            <w:shd w:val="clear" w:color="auto" w:fill="auto"/>
          </w:tcPr>
          <w:p w:rsidR="00181568" w:rsidRPr="00467E89" w:rsidRDefault="00181568" w:rsidP="007531D5">
            <w:pPr>
              <w:pStyle w:val="TableParagraph"/>
              <w:spacing w:line="263" w:lineRule="exact"/>
              <w:jc w:val="center"/>
              <w:rPr>
                <w:b/>
                <w:sz w:val="20"/>
                <w:szCs w:val="20"/>
                <w:lang w:val="es-PY"/>
              </w:rPr>
            </w:pPr>
            <w:r w:rsidRPr="00467E89">
              <w:rPr>
                <w:b/>
                <w:sz w:val="20"/>
                <w:szCs w:val="20"/>
                <w:lang w:val="es-PY"/>
              </w:rPr>
              <w:t>APROBADO POR</w:t>
            </w:r>
          </w:p>
        </w:tc>
      </w:tr>
      <w:tr w:rsidR="00181568" w:rsidRPr="00467E89" w:rsidTr="007531D5">
        <w:trPr>
          <w:trHeight w:val="844"/>
          <w:jc w:val="center"/>
        </w:trPr>
        <w:tc>
          <w:tcPr>
            <w:tcW w:w="2929" w:type="dxa"/>
            <w:shd w:val="clear" w:color="auto" w:fill="auto"/>
          </w:tcPr>
          <w:p w:rsidR="00181568" w:rsidRDefault="00181568" w:rsidP="007531D5">
            <w:pPr>
              <w:pStyle w:val="TableParagraph"/>
              <w:spacing w:line="267" w:lineRule="exact"/>
              <w:ind w:right="262"/>
              <w:rPr>
                <w:b/>
                <w:sz w:val="20"/>
                <w:szCs w:val="20"/>
                <w:lang w:val="es-PY"/>
              </w:rPr>
            </w:pPr>
            <w:r w:rsidRPr="00467E89">
              <w:rPr>
                <w:b/>
                <w:sz w:val="20"/>
                <w:szCs w:val="20"/>
                <w:lang w:val="es-PY"/>
              </w:rPr>
              <w:t>Nombre y Apellido:</w:t>
            </w:r>
          </w:p>
          <w:p w:rsidR="00181568" w:rsidRDefault="00181568" w:rsidP="007531D5">
            <w:pPr>
              <w:pStyle w:val="TableParagraph"/>
              <w:spacing w:line="267" w:lineRule="exact"/>
              <w:ind w:right="262"/>
              <w:jc w:val="center"/>
              <w:rPr>
                <w:sz w:val="20"/>
                <w:szCs w:val="20"/>
                <w:lang w:val="es-PY"/>
              </w:rPr>
            </w:pPr>
            <w:r>
              <w:rPr>
                <w:sz w:val="20"/>
                <w:szCs w:val="20"/>
                <w:lang w:val="es-PY"/>
              </w:rPr>
              <w:t>Blanca Coronel</w:t>
            </w:r>
          </w:p>
          <w:p w:rsidR="00181568" w:rsidRDefault="00181568" w:rsidP="007531D5">
            <w:pPr>
              <w:pStyle w:val="TableParagraph"/>
              <w:spacing w:line="267" w:lineRule="exact"/>
              <w:ind w:right="262"/>
              <w:jc w:val="center"/>
              <w:rPr>
                <w:sz w:val="20"/>
                <w:szCs w:val="20"/>
                <w:lang w:val="es-PY"/>
              </w:rPr>
            </w:pPr>
            <w:r>
              <w:rPr>
                <w:sz w:val="20"/>
                <w:szCs w:val="20"/>
                <w:lang w:val="es-PY"/>
              </w:rPr>
              <w:t>Belén Ramírez</w:t>
            </w:r>
          </w:p>
          <w:p w:rsidR="00181568" w:rsidRPr="00467E89" w:rsidRDefault="00181568" w:rsidP="007531D5">
            <w:pPr>
              <w:pStyle w:val="TableParagraph"/>
              <w:spacing w:line="267" w:lineRule="exact"/>
              <w:ind w:right="262"/>
              <w:jc w:val="center"/>
              <w:rPr>
                <w:sz w:val="20"/>
                <w:szCs w:val="20"/>
                <w:lang w:val="es-PY"/>
              </w:rPr>
            </w:pPr>
          </w:p>
        </w:tc>
        <w:tc>
          <w:tcPr>
            <w:tcW w:w="2836" w:type="dxa"/>
            <w:shd w:val="clear" w:color="auto" w:fill="auto"/>
          </w:tcPr>
          <w:p w:rsidR="00181568" w:rsidRPr="00467E89" w:rsidRDefault="00181568" w:rsidP="007531D5">
            <w:pPr>
              <w:pStyle w:val="TableParagraph"/>
              <w:spacing w:line="267" w:lineRule="exact"/>
              <w:ind w:right="262"/>
              <w:rPr>
                <w:b/>
                <w:sz w:val="20"/>
                <w:szCs w:val="20"/>
                <w:lang w:val="es-PY"/>
              </w:rPr>
            </w:pPr>
            <w:r w:rsidRPr="00467E89">
              <w:rPr>
                <w:b/>
                <w:sz w:val="20"/>
                <w:szCs w:val="20"/>
                <w:lang w:val="es-PY"/>
              </w:rPr>
              <w:t>Nombre y Apellido:</w:t>
            </w:r>
          </w:p>
          <w:p w:rsidR="00181568" w:rsidRDefault="00181568" w:rsidP="007531D5">
            <w:pPr>
              <w:pStyle w:val="TableParagraph"/>
              <w:spacing w:before="2"/>
              <w:ind w:left="268" w:right="262"/>
              <w:jc w:val="center"/>
              <w:rPr>
                <w:sz w:val="20"/>
                <w:szCs w:val="20"/>
                <w:lang w:val="es-PY"/>
              </w:rPr>
            </w:pPr>
          </w:p>
          <w:p w:rsidR="00181568" w:rsidRPr="00467E89" w:rsidRDefault="00181568" w:rsidP="007531D5">
            <w:pPr>
              <w:pStyle w:val="TableParagraph"/>
              <w:spacing w:before="2"/>
              <w:ind w:left="268" w:right="262"/>
              <w:jc w:val="center"/>
              <w:rPr>
                <w:sz w:val="20"/>
                <w:szCs w:val="20"/>
                <w:lang w:val="es-PY"/>
              </w:rPr>
            </w:pPr>
            <w:proofErr w:type="spellStart"/>
            <w:r>
              <w:rPr>
                <w:sz w:val="20"/>
                <w:szCs w:val="20"/>
                <w:lang w:val="es-PY"/>
              </w:rPr>
              <w:t>Jadiyi</w:t>
            </w:r>
            <w:proofErr w:type="spellEnd"/>
            <w:r>
              <w:rPr>
                <w:sz w:val="20"/>
                <w:szCs w:val="20"/>
                <w:lang w:val="es-PY"/>
              </w:rPr>
              <w:t xml:space="preserve"> Torales</w:t>
            </w:r>
          </w:p>
        </w:tc>
        <w:tc>
          <w:tcPr>
            <w:tcW w:w="2835" w:type="dxa"/>
            <w:shd w:val="clear" w:color="auto" w:fill="auto"/>
          </w:tcPr>
          <w:p w:rsidR="00181568" w:rsidRPr="00467E89" w:rsidRDefault="00181568" w:rsidP="007531D5">
            <w:pPr>
              <w:pStyle w:val="TableParagraph"/>
              <w:spacing w:line="267" w:lineRule="exact"/>
              <w:ind w:right="388"/>
              <w:rPr>
                <w:b/>
                <w:sz w:val="20"/>
                <w:szCs w:val="20"/>
                <w:lang w:val="es-PY"/>
              </w:rPr>
            </w:pPr>
            <w:r w:rsidRPr="00467E89">
              <w:rPr>
                <w:b/>
                <w:sz w:val="20"/>
                <w:szCs w:val="20"/>
                <w:lang w:val="es-PY"/>
              </w:rPr>
              <w:t>Nombre y Apellido:</w:t>
            </w:r>
          </w:p>
          <w:p w:rsidR="00181568" w:rsidRDefault="00181568" w:rsidP="007531D5">
            <w:pPr>
              <w:pStyle w:val="TableParagraph"/>
              <w:spacing w:before="2"/>
              <w:ind w:left="396" w:right="396"/>
              <w:jc w:val="center"/>
              <w:rPr>
                <w:sz w:val="20"/>
                <w:szCs w:val="20"/>
                <w:lang w:val="es-PY"/>
              </w:rPr>
            </w:pPr>
          </w:p>
          <w:p w:rsidR="00181568" w:rsidRPr="00467E89" w:rsidRDefault="00181568" w:rsidP="007531D5">
            <w:pPr>
              <w:pStyle w:val="TableParagraph"/>
              <w:spacing w:before="2"/>
              <w:ind w:left="396" w:right="396"/>
              <w:jc w:val="center"/>
              <w:rPr>
                <w:sz w:val="20"/>
                <w:szCs w:val="20"/>
                <w:lang w:val="es-PY"/>
              </w:rPr>
            </w:pPr>
            <w:r>
              <w:rPr>
                <w:sz w:val="20"/>
                <w:szCs w:val="20"/>
                <w:lang w:val="es-PY"/>
              </w:rPr>
              <w:t>César Rivas</w:t>
            </w:r>
          </w:p>
        </w:tc>
      </w:tr>
      <w:tr w:rsidR="00181568" w:rsidRPr="00467E89" w:rsidTr="007531D5">
        <w:trPr>
          <w:trHeight w:val="1410"/>
          <w:jc w:val="center"/>
        </w:trPr>
        <w:tc>
          <w:tcPr>
            <w:tcW w:w="2929" w:type="dxa"/>
            <w:shd w:val="clear" w:color="auto" w:fill="auto"/>
          </w:tcPr>
          <w:p w:rsidR="00181568" w:rsidRPr="00467E89" w:rsidRDefault="00181568" w:rsidP="007531D5">
            <w:pPr>
              <w:pStyle w:val="TableParagraph"/>
              <w:spacing w:line="267" w:lineRule="exact"/>
              <w:ind w:left="273" w:right="261"/>
              <w:jc w:val="center"/>
              <w:rPr>
                <w:b/>
                <w:sz w:val="20"/>
                <w:szCs w:val="20"/>
                <w:lang w:val="es-PY"/>
              </w:rPr>
            </w:pPr>
            <w:r w:rsidRPr="00467E89">
              <w:rPr>
                <w:b/>
                <w:sz w:val="20"/>
                <w:szCs w:val="20"/>
                <w:lang w:val="es-PY"/>
              </w:rPr>
              <w:t>Cargo:</w:t>
            </w:r>
          </w:p>
          <w:p w:rsidR="00181568" w:rsidRDefault="00181568" w:rsidP="007531D5">
            <w:pPr>
              <w:pStyle w:val="TableParagraph"/>
              <w:spacing w:before="1" w:line="242" w:lineRule="auto"/>
              <w:ind w:left="273" w:right="262"/>
              <w:rPr>
                <w:sz w:val="20"/>
                <w:szCs w:val="20"/>
                <w:lang w:val="es-PY"/>
              </w:rPr>
            </w:pPr>
          </w:p>
          <w:p w:rsidR="00181568" w:rsidRDefault="00181568" w:rsidP="007531D5">
            <w:pPr>
              <w:pStyle w:val="TableParagraph"/>
              <w:spacing w:before="1" w:line="242" w:lineRule="auto"/>
              <w:ind w:left="273" w:right="262"/>
              <w:rPr>
                <w:sz w:val="20"/>
                <w:szCs w:val="20"/>
                <w:lang w:val="es-PY"/>
              </w:rPr>
            </w:pPr>
            <w:r>
              <w:rPr>
                <w:sz w:val="20"/>
                <w:szCs w:val="20"/>
                <w:lang w:val="es-PY"/>
              </w:rPr>
              <w:t xml:space="preserve">Jefa del </w:t>
            </w:r>
            <w:proofErr w:type="spellStart"/>
            <w:r>
              <w:rPr>
                <w:sz w:val="20"/>
                <w:szCs w:val="20"/>
                <w:lang w:val="es-PY"/>
              </w:rPr>
              <w:t>DLSyCV</w:t>
            </w:r>
            <w:proofErr w:type="spellEnd"/>
          </w:p>
          <w:p w:rsidR="00181568" w:rsidRPr="00467E89" w:rsidRDefault="00181568" w:rsidP="007531D5">
            <w:pPr>
              <w:pStyle w:val="TableParagraph"/>
              <w:spacing w:before="1" w:line="242" w:lineRule="auto"/>
              <w:ind w:left="273" w:right="262"/>
              <w:rPr>
                <w:sz w:val="20"/>
                <w:szCs w:val="20"/>
                <w:lang w:val="es-PY"/>
              </w:rPr>
            </w:pPr>
            <w:r w:rsidRPr="00467E89">
              <w:rPr>
                <w:sz w:val="20"/>
                <w:szCs w:val="20"/>
                <w:lang w:val="es-PY"/>
              </w:rPr>
              <w:t>T</w:t>
            </w:r>
            <w:r>
              <w:rPr>
                <w:sz w:val="20"/>
                <w:szCs w:val="20"/>
                <w:lang w:val="es-PY"/>
              </w:rPr>
              <w:t>écnico</w:t>
            </w:r>
            <w:r w:rsidRPr="00467E89">
              <w:rPr>
                <w:sz w:val="20"/>
                <w:szCs w:val="20"/>
                <w:lang w:val="es-PY"/>
              </w:rPr>
              <w:t xml:space="preserve"> del </w:t>
            </w:r>
            <w:proofErr w:type="spellStart"/>
            <w:r w:rsidRPr="00467E89">
              <w:rPr>
                <w:sz w:val="20"/>
                <w:szCs w:val="20"/>
                <w:lang w:val="es-PY"/>
              </w:rPr>
              <w:t>DLSyCV</w:t>
            </w:r>
            <w:proofErr w:type="spellEnd"/>
          </w:p>
        </w:tc>
        <w:tc>
          <w:tcPr>
            <w:tcW w:w="2836" w:type="dxa"/>
            <w:shd w:val="clear" w:color="auto" w:fill="auto"/>
          </w:tcPr>
          <w:p w:rsidR="00181568" w:rsidRPr="00467E89" w:rsidRDefault="00181568" w:rsidP="007531D5">
            <w:pPr>
              <w:pStyle w:val="TableParagraph"/>
              <w:spacing w:line="267" w:lineRule="exact"/>
              <w:ind w:left="273" w:right="261"/>
              <w:jc w:val="center"/>
              <w:rPr>
                <w:b/>
                <w:sz w:val="20"/>
                <w:szCs w:val="20"/>
                <w:lang w:val="es-PY"/>
              </w:rPr>
            </w:pPr>
            <w:r w:rsidRPr="00467E89">
              <w:rPr>
                <w:b/>
                <w:sz w:val="20"/>
                <w:szCs w:val="20"/>
                <w:lang w:val="es-PY"/>
              </w:rPr>
              <w:t>Cargo:</w:t>
            </w:r>
          </w:p>
          <w:p w:rsidR="00181568" w:rsidRDefault="00181568" w:rsidP="007531D5">
            <w:pPr>
              <w:pStyle w:val="TableParagraph"/>
              <w:spacing w:before="4"/>
              <w:jc w:val="center"/>
              <w:rPr>
                <w:sz w:val="20"/>
                <w:szCs w:val="20"/>
                <w:lang w:val="es-PY"/>
              </w:rPr>
            </w:pPr>
          </w:p>
          <w:p w:rsidR="00181568" w:rsidRPr="00467E89" w:rsidRDefault="00181568" w:rsidP="007531D5">
            <w:pPr>
              <w:pStyle w:val="TableParagraph"/>
              <w:spacing w:before="4"/>
              <w:jc w:val="center"/>
              <w:rPr>
                <w:b/>
                <w:sz w:val="20"/>
                <w:szCs w:val="20"/>
                <w:lang w:val="es-PY"/>
              </w:rPr>
            </w:pPr>
            <w:r w:rsidRPr="00467E89">
              <w:rPr>
                <w:sz w:val="20"/>
                <w:szCs w:val="20"/>
                <w:lang w:val="es-PY"/>
              </w:rPr>
              <w:t>Director</w:t>
            </w:r>
            <w:r>
              <w:rPr>
                <w:sz w:val="20"/>
                <w:szCs w:val="20"/>
                <w:lang w:val="es-PY"/>
              </w:rPr>
              <w:t>a</w:t>
            </w:r>
            <w:r w:rsidRPr="00467E89">
              <w:rPr>
                <w:sz w:val="20"/>
                <w:szCs w:val="20"/>
                <w:lang w:val="es-PY"/>
              </w:rPr>
              <w:t xml:space="preserve"> </w:t>
            </w:r>
            <w:r>
              <w:rPr>
                <w:sz w:val="20"/>
                <w:szCs w:val="20"/>
                <w:lang w:val="es-PY"/>
              </w:rPr>
              <w:t>de Laboratorio</w:t>
            </w:r>
          </w:p>
          <w:p w:rsidR="00181568" w:rsidRPr="00467E89" w:rsidRDefault="00181568" w:rsidP="007531D5">
            <w:pPr>
              <w:pStyle w:val="TableParagraph"/>
              <w:spacing w:before="1" w:line="242" w:lineRule="auto"/>
              <w:ind w:left="273" w:right="262"/>
              <w:jc w:val="center"/>
              <w:rPr>
                <w:sz w:val="20"/>
                <w:szCs w:val="20"/>
                <w:lang w:val="es-PY"/>
              </w:rPr>
            </w:pPr>
          </w:p>
        </w:tc>
        <w:tc>
          <w:tcPr>
            <w:tcW w:w="2835" w:type="dxa"/>
            <w:shd w:val="clear" w:color="auto" w:fill="auto"/>
          </w:tcPr>
          <w:p w:rsidR="00181568" w:rsidRPr="00467E89" w:rsidRDefault="00181568" w:rsidP="007531D5">
            <w:pPr>
              <w:pStyle w:val="TableParagraph"/>
              <w:spacing w:line="267" w:lineRule="exact"/>
              <w:ind w:left="396" w:right="392"/>
              <w:jc w:val="center"/>
              <w:rPr>
                <w:b/>
                <w:sz w:val="20"/>
                <w:szCs w:val="20"/>
                <w:lang w:val="es-PY"/>
              </w:rPr>
            </w:pPr>
            <w:r w:rsidRPr="00467E89">
              <w:rPr>
                <w:b/>
                <w:sz w:val="20"/>
                <w:szCs w:val="20"/>
                <w:lang w:val="es-PY"/>
              </w:rPr>
              <w:t>Cargo:</w:t>
            </w:r>
          </w:p>
          <w:p w:rsidR="00181568" w:rsidRPr="00467E89" w:rsidRDefault="00181568" w:rsidP="007531D5">
            <w:pPr>
              <w:pStyle w:val="TableParagraph"/>
              <w:spacing w:before="4"/>
              <w:jc w:val="center"/>
              <w:rPr>
                <w:b/>
                <w:sz w:val="20"/>
                <w:szCs w:val="20"/>
                <w:lang w:val="es-PY"/>
              </w:rPr>
            </w:pPr>
          </w:p>
          <w:p w:rsidR="00181568" w:rsidRPr="00467E89" w:rsidRDefault="00181568" w:rsidP="007531D5">
            <w:pPr>
              <w:pStyle w:val="TableParagraph"/>
              <w:spacing w:before="1" w:line="242" w:lineRule="auto"/>
              <w:ind w:left="396" w:right="390"/>
              <w:jc w:val="center"/>
              <w:rPr>
                <w:sz w:val="20"/>
                <w:szCs w:val="20"/>
                <w:lang w:val="es-PY"/>
              </w:rPr>
            </w:pPr>
            <w:r>
              <w:rPr>
                <w:sz w:val="20"/>
                <w:szCs w:val="20"/>
                <w:lang w:val="es-PY"/>
              </w:rPr>
              <w:t>Director General Técnico</w:t>
            </w:r>
          </w:p>
        </w:tc>
      </w:tr>
      <w:tr w:rsidR="00181568" w:rsidRPr="00467E89" w:rsidTr="007531D5">
        <w:trPr>
          <w:trHeight w:val="1454"/>
          <w:jc w:val="center"/>
        </w:trPr>
        <w:tc>
          <w:tcPr>
            <w:tcW w:w="2929" w:type="dxa"/>
            <w:shd w:val="clear" w:color="auto" w:fill="auto"/>
          </w:tcPr>
          <w:p w:rsidR="00181568" w:rsidRPr="00467E89" w:rsidRDefault="00181568" w:rsidP="007531D5">
            <w:pPr>
              <w:pStyle w:val="TableParagraph"/>
              <w:spacing w:line="267" w:lineRule="exact"/>
              <w:ind w:left="105"/>
              <w:rPr>
                <w:b/>
                <w:sz w:val="20"/>
                <w:szCs w:val="20"/>
                <w:lang w:val="es-PY"/>
              </w:rPr>
            </w:pPr>
            <w:r w:rsidRPr="00467E89">
              <w:rPr>
                <w:b/>
                <w:sz w:val="20"/>
                <w:szCs w:val="20"/>
                <w:lang w:val="es-PY"/>
              </w:rPr>
              <w:t>Firma:</w:t>
            </w:r>
          </w:p>
        </w:tc>
        <w:tc>
          <w:tcPr>
            <w:tcW w:w="2836" w:type="dxa"/>
            <w:shd w:val="clear" w:color="auto" w:fill="auto"/>
          </w:tcPr>
          <w:p w:rsidR="00181568" w:rsidRPr="00467E89" w:rsidRDefault="00181568" w:rsidP="007531D5">
            <w:pPr>
              <w:pStyle w:val="TableParagraph"/>
              <w:spacing w:line="267" w:lineRule="exact"/>
              <w:ind w:left="105"/>
              <w:rPr>
                <w:b/>
                <w:sz w:val="20"/>
                <w:szCs w:val="20"/>
                <w:lang w:val="es-PY"/>
              </w:rPr>
            </w:pPr>
            <w:r w:rsidRPr="00467E89">
              <w:rPr>
                <w:b/>
                <w:sz w:val="20"/>
                <w:szCs w:val="20"/>
                <w:lang w:val="es-PY"/>
              </w:rPr>
              <w:t>Firma:</w:t>
            </w:r>
          </w:p>
        </w:tc>
        <w:tc>
          <w:tcPr>
            <w:tcW w:w="2835" w:type="dxa"/>
            <w:shd w:val="clear" w:color="auto" w:fill="auto"/>
          </w:tcPr>
          <w:p w:rsidR="00181568" w:rsidRPr="00467E89" w:rsidRDefault="00181568" w:rsidP="007531D5">
            <w:pPr>
              <w:pStyle w:val="TableParagraph"/>
              <w:spacing w:line="267" w:lineRule="exact"/>
              <w:ind w:left="110"/>
              <w:rPr>
                <w:b/>
                <w:sz w:val="20"/>
                <w:szCs w:val="20"/>
                <w:lang w:val="es-PY"/>
              </w:rPr>
            </w:pPr>
            <w:r w:rsidRPr="00467E89">
              <w:rPr>
                <w:b/>
                <w:sz w:val="20"/>
                <w:szCs w:val="20"/>
                <w:lang w:val="es-PY"/>
              </w:rPr>
              <w:t>Firma:</w:t>
            </w:r>
          </w:p>
        </w:tc>
      </w:tr>
      <w:tr w:rsidR="00181568" w:rsidRPr="00467E89" w:rsidTr="007531D5">
        <w:trPr>
          <w:trHeight w:val="273"/>
          <w:jc w:val="center"/>
        </w:trPr>
        <w:tc>
          <w:tcPr>
            <w:tcW w:w="2929" w:type="dxa"/>
            <w:shd w:val="clear" w:color="auto" w:fill="auto"/>
          </w:tcPr>
          <w:p w:rsidR="00181568" w:rsidRPr="00467E89" w:rsidRDefault="00181568" w:rsidP="007531D5">
            <w:pPr>
              <w:pStyle w:val="TableParagraph"/>
              <w:spacing w:line="253" w:lineRule="exact"/>
              <w:ind w:left="105"/>
              <w:rPr>
                <w:sz w:val="20"/>
                <w:szCs w:val="20"/>
                <w:lang w:val="es-PY"/>
              </w:rPr>
            </w:pPr>
            <w:r w:rsidRPr="00467E89">
              <w:rPr>
                <w:b/>
                <w:sz w:val="20"/>
                <w:szCs w:val="20"/>
                <w:lang w:val="es-PY"/>
              </w:rPr>
              <w:t xml:space="preserve">Fecha: </w:t>
            </w:r>
            <w:r w:rsidRPr="00467E89">
              <w:rPr>
                <w:sz w:val="20"/>
                <w:szCs w:val="20"/>
                <w:lang w:val="es-PY"/>
              </w:rPr>
              <w:t xml:space="preserve">  </w:t>
            </w:r>
          </w:p>
        </w:tc>
        <w:tc>
          <w:tcPr>
            <w:tcW w:w="2836" w:type="dxa"/>
            <w:shd w:val="clear" w:color="auto" w:fill="auto"/>
          </w:tcPr>
          <w:p w:rsidR="00181568" w:rsidRPr="00467E89" w:rsidRDefault="00181568" w:rsidP="007531D5">
            <w:pPr>
              <w:pStyle w:val="TableParagraph"/>
              <w:spacing w:line="253" w:lineRule="exact"/>
              <w:ind w:left="110"/>
              <w:rPr>
                <w:sz w:val="20"/>
                <w:szCs w:val="20"/>
                <w:lang w:val="es-PY"/>
              </w:rPr>
            </w:pPr>
            <w:r w:rsidRPr="00467E89">
              <w:rPr>
                <w:b/>
                <w:sz w:val="20"/>
                <w:szCs w:val="20"/>
                <w:lang w:val="es-PY"/>
              </w:rPr>
              <w:t xml:space="preserve">Fecha: </w:t>
            </w:r>
          </w:p>
        </w:tc>
        <w:tc>
          <w:tcPr>
            <w:tcW w:w="2835" w:type="dxa"/>
            <w:shd w:val="clear" w:color="auto" w:fill="auto"/>
          </w:tcPr>
          <w:p w:rsidR="00181568" w:rsidRPr="00467E89" w:rsidRDefault="00181568" w:rsidP="007531D5">
            <w:pPr>
              <w:pStyle w:val="TableParagraph"/>
              <w:spacing w:line="253" w:lineRule="exact"/>
              <w:ind w:left="106"/>
              <w:rPr>
                <w:sz w:val="20"/>
                <w:szCs w:val="20"/>
                <w:lang w:val="es-PY"/>
              </w:rPr>
            </w:pPr>
            <w:r w:rsidRPr="00467E89">
              <w:rPr>
                <w:b/>
                <w:sz w:val="20"/>
                <w:szCs w:val="20"/>
                <w:lang w:val="es-PY"/>
              </w:rPr>
              <w:t xml:space="preserve">Fecha: </w:t>
            </w:r>
          </w:p>
        </w:tc>
      </w:tr>
    </w:tbl>
    <w:p w:rsidR="00497D08" w:rsidRPr="00994DD6" w:rsidRDefault="00497D08">
      <w:pPr>
        <w:rPr>
          <w:color w:val="000000"/>
        </w:rPr>
      </w:pPr>
    </w:p>
    <w:p w:rsidR="00497D08" w:rsidRPr="00994DD6" w:rsidRDefault="00497D08">
      <w:pPr>
        <w:rPr>
          <w:color w:val="000000"/>
        </w:rPr>
      </w:pPr>
    </w:p>
    <w:p w:rsidR="00497D08" w:rsidRDefault="00497D08">
      <w:pPr>
        <w:rPr>
          <w:color w:val="000000"/>
        </w:rPr>
      </w:pPr>
    </w:p>
    <w:p w:rsidR="001F42AB" w:rsidRDefault="001F42AB">
      <w:pPr>
        <w:rPr>
          <w:color w:val="000000"/>
        </w:rPr>
      </w:pPr>
    </w:p>
    <w:p w:rsidR="001F42AB" w:rsidRDefault="001F42AB">
      <w:pPr>
        <w:rPr>
          <w:color w:val="000000"/>
        </w:rPr>
      </w:pPr>
    </w:p>
    <w:p w:rsidR="00CB0986" w:rsidRPr="00994DD6" w:rsidRDefault="00CB0986">
      <w:pPr>
        <w:rPr>
          <w:color w:val="000000"/>
        </w:rPr>
      </w:pPr>
    </w:p>
    <w:p w:rsidR="007F300E" w:rsidRDefault="007F300E" w:rsidP="00404168">
      <w:pPr>
        <w:rPr>
          <w:rFonts w:ascii="Arial" w:hAnsi="Arial"/>
          <w:b/>
          <w:color w:val="000000"/>
        </w:rPr>
      </w:pPr>
    </w:p>
    <w:p w:rsidR="00D82B1A" w:rsidRPr="00994DD6" w:rsidRDefault="00D82B1A" w:rsidP="00404168">
      <w:pPr>
        <w:rPr>
          <w:rFonts w:ascii="Arial" w:hAnsi="Arial"/>
          <w:b/>
          <w:color w:val="000000"/>
        </w:rPr>
      </w:pPr>
    </w:p>
    <w:p w:rsidR="00497D08" w:rsidRPr="006E3709" w:rsidRDefault="00497D08" w:rsidP="009D1D2D">
      <w:pPr>
        <w:numPr>
          <w:ilvl w:val="0"/>
          <w:numId w:val="2"/>
        </w:numPr>
        <w:tabs>
          <w:tab w:val="clear" w:pos="720"/>
          <w:tab w:val="left" w:pos="284"/>
        </w:tabs>
        <w:ind w:left="-142" w:hanging="284"/>
        <w:rPr>
          <w:rFonts w:ascii="Arial" w:hAnsi="Arial"/>
          <w:b/>
          <w:color w:val="000000"/>
          <w:sz w:val="22"/>
          <w:szCs w:val="22"/>
        </w:rPr>
      </w:pPr>
      <w:r w:rsidRPr="006E3709">
        <w:rPr>
          <w:rFonts w:ascii="Arial" w:hAnsi="Arial"/>
          <w:b/>
          <w:color w:val="000000"/>
          <w:sz w:val="22"/>
          <w:szCs w:val="22"/>
        </w:rPr>
        <w:lastRenderedPageBreak/>
        <w:t>OBJETIVO</w:t>
      </w:r>
    </w:p>
    <w:p w:rsidR="00497D08" w:rsidRPr="006E3709" w:rsidRDefault="00497D08">
      <w:pPr>
        <w:rPr>
          <w:color w:val="000000"/>
          <w:sz w:val="22"/>
          <w:szCs w:val="22"/>
        </w:rPr>
      </w:pPr>
    </w:p>
    <w:p w:rsidR="00745DF1" w:rsidRPr="006E3709" w:rsidRDefault="007D4A0B" w:rsidP="009D1D2D">
      <w:pPr>
        <w:ind w:left="-426"/>
        <w:jc w:val="both"/>
        <w:rPr>
          <w:rFonts w:ascii="Arial" w:hAnsi="Arial"/>
          <w:color w:val="000000"/>
          <w:sz w:val="22"/>
          <w:szCs w:val="22"/>
        </w:rPr>
      </w:pPr>
      <w:r w:rsidRPr="006E3709">
        <w:rPr>
          <w:rFonts w:ascii="Arial" w:hAnsi="Arial"/>
          <w:color w:val="000000"/>
          <w:sz w:val="22"/>
          <w:szCs w:val="22"/>
        </w:rPr>
        <w:t>El objetivo</w:t>
      </w:r>
      <w:r w:rsidR="00EB321B" w:rsidRPr="006E3709">
        <w:rPr>
          <w:rFonts w:ascii="Arial" w:hAnsi="Arial"/>
          <w:color w:val="000000"/>
          <w:sz w:val="22"/>
          <w:szCs w:val="22"/>
        </w:rPr>
        <w:t xml:space="preserve"> de este</w:t>
      </w:r>
      <w:r w:rsidR="00745DF1" w:rsidRPr="006E3709">
        <w:rPr>
          <w:rFonts w:ascii="Arial" w:hAnsi="Arial"/>
          <w:color w:val="000000"/>
          <w:sz w:val="22"/>
          <w:szCs w:val="22"/>
        </w:rPr>
        <w:t xml:space="preserve"> procedimiento es describir los pasos que deberá seguir el analista para realizar el </w:t>
      </w:r>
      <w:r w:rsidR="009D1D2D" w:rsidRPr="006E3709">
        <w:rPr>
          <w:rFonts w:ascii="Arial" w:hAnsi="Arial"/>
          <w:color w:val="000000"/>
          <w:sz w:val="22"/>
          <w:szCs w:val="22"/>
        </w:rPr>
        <w:t>análisis de viabilidad al Tetrazolio</w:t>
      </w:r>
      <w:r w:rsidR="009D1D2D" w:rsidRPr="006E3709">
        <w:rPr>
          <w:rFonts w:ascii="Arial" w:hAnsi="Arial" w:cs="Arial"/>
          <w:sz w:val="22"/>
          <w:szCs w:val="22"/>
        </w:rPr>
        <w:t xml:space="preserve"> en forma adecuada y uniforme para las especies sobre las cuales el </w:t>
      </w:r>
      <w:proofErr w:type="spellStart"/>
      <w:r w:rsidR="009D1D2D" w:rsidRPr="006E3709">
        <w:rPr>
          <w:rFonts w:ascii="Arial" w:hAnsi="Arial" w:cs="Arial"/>
          <w:sz w:val="22"/>
          <w:szCs w:val="22"/>
        </w:rPr>
        <w:t>DLSyCV</w:t>
      </w:r>
      <w:proofErr w:type="spellEnd"/>
      <w:r w:rsidR="009D1D2D" w:rsidRPr="006E3709">
        <w:rPr>
          <w:rFonts w:ascii="Arial" w:hAnsi="Arial" w:cs="Arial"/>
          <w:sz w:val="22"/>
          <w:szCs w:val="22"/>
        </w:rPr>
        <w:t xml:space="preserve"> tiene competencia, a fin de proporcionar resultados confiables.</w:t>
      </w:r>
    </w:p>
    <w:p w:rsidR="00497D08" w:rsidRPr="006E3709" w:rsidRDefault="00497D08">
      <w:pPr>
        <w:rPr>
          <w:rFonts w:ascii="Arial" w:hAnsi="Arial"/>
          <w:color w:val="000000"/>
          <w:sz w:val="22"/>
          <w:szCs w:val="22"/>
        </w:rPr>
      </w:pPr>
    </w:p>
    <w:p w:rsidR="00497D08" w:rsidRPr="006E3709" w:rsidRDefault="00497D08" w:rsidP="009D1D2D">
      <w:pPr>
        <w:numPr>
          <w:ilvl w:val="0"/>
          <w:numId w:val="2"/>
        </w:numPr>
        <w:tabs>
          <w:tab w:val="clear" w:pos="720"/>
          <w:tab w:val="left" w:pos="284"/>
        </w:tabs>
        <w:ind w:left="-142" w:hanging="284"/>
        <w:rPr>
          <w:rFonts w:ascii="Arial" w:hAnsi="Arial"/>
          <w:b/>
          <w:color w:val="000000"/>
          <w:sz w:val="22"/>
          <w:szCs w:val="22"/>
        </w:rPr>
      </w:pPr>
      <w:r w:rsidRPr="006E3709">
        <w:rPr>
          <w:rFonts w:ascii="Arial" w:hAnsi="Arial"/>
          <w:b/>
          <w:color w:val="000000"/>
          <w:sz w:val="22"/>
          <w:szCs w:val="22"/>
        </w:rPr>
        <w:t>ALCANCE</w:t>
      </w:r>
    </w:p>
    <w:p w:rsidR="00497D08" w:rsidRPr="006E3709" w:rsidRDefault="00497D08">
      <w:pPr>
        <w:rPr>
          <w:rFonts w:ascii="Arial" w:hAnsi="Arial"/>
          <w:color w:val="000000"/>
          <w:sz w:val="22"/>
          <w:szCs w:val="22"/>
        </w:rPr>
      </w:pPr>
    </w:p>
    <w:p w:rsidR="00497D08" w:rsidRPr="006E3709" w:rsidRDefault="007E547C" w:rsidP="009D1D2D">
      <w:pPr>
        <w:ind w:left="-426"/>
        <w:jc w:val="both"/>
        <w:rPr>
          <w:rFonts w:ascii="Arial" w:hAnsi="Arial"/>
          <w:color w:val="000000"/>
          <w:sz w:val="22"/>
          <w:szCs w:val="22"/>
        </w:rPr>
      </w:pPr>
      <w:r w:rsidRPr="006E3709">
        <w:rPr>
          <w:rFonts w:ascii="Arial" w:hAnsi="Arial"/>
          <w:color w:val="000000"/>
          <w:sz w:val="22"/>
          <w:szCs w:val="22"/>
        </w:rPr>
        <w:t>Abarca desde la recepción de la muestra de trabajo junto con el Boletín Interno, hasta la entrega del mismo con los resultados obtenidos para el llenado del certificado de análisis de semillas.</w:t>
      </w:r>
    </w:p>
    <w:p w:rsidR="00745DF1" w:rsidRPr="006E3709" w:rsidRDefault="00745DF1" w:rsidP="00745DF1">
      <w:pPr>
        <w:ind w:left="426" w:hanging="426"/>
        <w:rPr>
          <w:color w:val="000000"/>
          <w:sz w:val="22"/>
          <w:szCs w:val="22"/>
        </w:rPr>
      </w:pPr>
    </w:p>
    <w:p w:rsidR="00DB15B9" w:rsidRPr="006E3709" w:rsidRDefault="0003787C" w:rsidP="009D1D2D">
      <w:pPr>
        <w:numPr>
          <w:ilvl w:val="0"/>
          <w:numId w:val="2"/>
        </w:numPr>
        <w:tabs>
          <w:tab w:val="clear" w:pos="720"/>
          <w:tab w:val="left" w:pos="284"/>
        </w:tabs>
        <w:ind w:left="-142" w:hanging="284"/>
        <w:rPr>
          <w:rFonts w:ascii="Arial" w:hAnsi="Arial"/>
          <w:b/>
          <w:color w:val="000000"/>
          <w:sz w:val="22"/>
          <w:szCs w:val="22"/>
        </w:rPr>
      </w:pPr>
      <w:r w:rsidRPr="006E3709">
        <w:rPr>
          <w:rFonts w:ascii="Arial" w:hAnsi="Arial"/>
          <w:b/>
          <w:color w:val="000000"/>
          <w:sz w:val="22"/>
          <w:szCs w:val="22"/>
        </w:rPr>
        <w:t>SIGLAS Y DEFINICIONES</w:t>
      </w:r>
    </w:p>
    <w:p w:rsidR="009D1D2D" w:rsidRPr="006E3709" w:rsidRDefault="009D1D2D" w:rsidP="009D1D2D">
      <w:pPr>
        <w:tabs>
          <w:tab w:val="left" w:pos="284"/>
        </w:tabs>
        <w:ind w:left="-142"/>
        <w:rPr>
          <w:rFonts w:ascii="Arial" w:hAnsi="Arial"/>
          <w:b/>
          <w:color w:val="000000"/>
          <w:sz w:val="22"/>
          <w:szCs w:val="22"/>
        </w:rPr>
      </w:pPr>
    </w:p>
    <w:p w:rsidR="00DB15B9" w:rsidRPr="006E3709" w:rsidRDefault="00DB15B9" w:rsidP="009D1D2D">
      <w:pPr>
        <w:numPr>
          <w:ilvl w:val="1"/>
          <w:numId w:val="2"/>
        </w:numPr>
        <w:tabs>
          <w:tab w:val="clear" w:pos="643"/>
          <w:tab w:val="num" w:pos="142"/>
        </w:tabs>
        <w:suppressAutoHyphens w:val="0"/>
        <w:spacing w:after="100" w:afterAutospacing="1"/>
        <w:ind w:hanging="1069"/>
        <w:jc w:val="both"/>
        <w:rPr>
          <w:rFonts w:ascii="Arial" w:hAnsi="Arial"/>
          <w:b/>
          <w:sz w:val="22"/>
          <w:szCs w:val="22"/>
        </w:rPr>
      </w:pPr>
      <w:r w:rsidRPr="006E3709">
        <w:rPr>
          <w:rFonts w:ascii="Arial" w:hAnsi="Arial"/>
          <w:b/>
          <w:sz w:val="22"/>
          <w:szCs w:val="22"/>
        </w:rPr>
        <w:t>Siglas</w:t>
      </w:r>
      <w:r w:rsidR="003604AA" w:rsidRPr="006E3709">
        <w:rPr>
          <w:rFonts w:ascii="Arial" w:hAnsi="Arial"/>
          <w:b/>
          <w:sz w:val="22"/>
          <w:szCs w:val="22"/>
        </w:rPr>
        <w:t>:</w:t>
      </w:r>
    </w:p>
    <w:p w:rsidR="00DB15B9" w:rsidRPr="006E3709" w:rsidRDefault="007E547C" w:rsidP="009D1D2D">
      <w:pPr>
        <w:pStyle w:val="Prrafodelista"/>
        <w:numPr>
          <w:ilvl w:val="2"/>
          <w:numId w:val="2"/>
        </w:numPr>
        <w:tabs>
          <w:tab w:val="clear" w:pos="1080"/>
          <w:tab w:val="num" w:pos="142"/>
          <w:tab w:val="num" w:pos="709"/>
        </w:tabs>
        <w:suppressAutoHyphens w:val="0"/>
        <w:spacing w:before="100" w:beforeAutospacing="1" w:after="100" w:afterAutospacing="1"/>
        <w:ind w:hanging="1506"/>
        <w:jc w:val="both"/>
        <w:rPr>
          <w:rFonts w:ascii="Arial" w:hAnsi="Arial"/>
          <w:b/>
          <w:sz w:val="22"/>
          <w:szCs w:val="22"/>
        </w:rPr>
      </w:pPr>
      <w:r w:rsidRPr="006E3709">
        <w:rPr>
          <w:rFonts w:ascii="Arial" w:hAnsi="Arial" w:cs="Arial"/>
          <w:b/>
          <w:sz w:val="22"/>
          <w:szCs w:val="22"/>
        </w:rPr>
        <w:t>BI:</w:t>
      </w:r>
      <w:r w:rsidRPr="006E3709">
        <w:rPr>
          <w:rFonts w:ascii="Arial" w:hAnsi="Arial" w:cs="Arial"/>
          <w:sz w:val="22"/>
          <w:szCs w:val="22"/>
        </w:rPr>
        <w:t xml:space="preserve"> </w:t>
      </w:r>
      <w:r w:rsidR="00D37FC0" w:rsidRPr="006E3709">
        <w:rPr>
          <w:rFonts w:ascii="Arial" w:hAnsi="Arial" w:cs="Arial"/>
          <w:sz w:val="22"/>
          <w:szCs w:val="22"/>
        </w:rPr>
        <w:t xml:space="preserve">FOR-DLSyCV-537 </w:t>
      </w:r>
      <w:r w:rsidRPr="006E3709">
        <w:rPr>
          <w:rFonts w:ascii="Arial" w:hAnsi="Arial" w:cs="Arial"/>
          <w:sz w:val="22"/>
          <w:szCs w:val="22"/>
        </w:rPr>
        <w:t>Boletín interno</w:t>
      </w:r>
      <w:r w:rsidR="00D37FC0" w:rsidRPr="006E3709">
        <w:rPr>
          <w:rFonts w:ascii="Arial" w:hAnsi="Arial" w:cs="Arial"/>
          <w:sz w:val="22"/>
          <w:szCs w:val="22"/>
        </w:rPr>
        <w:t xml:space="preserve"> de análisis de viabilidad y vigor.</w:t>
      </w:r>
    </w:p>
    <w:p w:rsidR="00DB15B9" w:rsidRPr="006E3709" w:rsidRDefault="007E547C" w:rsidP="009D1D2D">
      <w:pPr>
        <w:pStyle w:val="Prrafodelista"/>
        <w:numPr>
          <w:ilvl w:val="2"/>
          <w:numId w:val="2"/>
        </w:numPr>
        <w:tabs>
          <w:tab w:val="clear" w:pos="1080"/>
          <w:tab w:val="num" w:pos="142"/>
          <w:tab w:val="num" w:pos="709"/>
        </w:tabs>
        <w:suppressAutoHyphens w:val="0"/>
        <w:spacing w:before="100" w:beforeAutospacing="1" w:after="100" w:afterAutospacing="1"/>
        <w:ind w:hanging="1506"/>
        <w:jc w:val="both"/>
        <w:rPr>
          <w:rFonts w:ascii="Arial" w:hAnsi="Arial"/>
          <w:b/>
          <w:sz w:val="22"/>
          <w:szCs w:val="22"/>
        </w:rPr>
      </w:pPr>
      <w:r w:rsidRPr="006E3709">
        <w:rPr>
          <w:rFonts w:ascii="Arial" w:hAnsi="Arial" w:cs="Arial"/>
          <w:b/>
          <w:sz w:val="22"/>
          <w:szCs w:val="22"/>
        </w:rPr>
        <w:t>CAS:</w:t>
      </w:r>
      <w:r w:rsidRPr="006E3709">
        <w:rPr>
          <w:rFonts w:ascii="Arial" w:hAnsi="Arial" w:cs="Arial"/>
          <w:sz w:val="22"/>
          <w:szCs w:val="22"/>
        </w:rPr>
        <w:t xml:space="preserve"> Certificado de análisis de semillas</w:t>
      </w:r>
      <w:r w:rsidR="00D37FC0" w:rsidRPr="006E3709">
        <w:rPr>
          <w:rFonts w:ascii="Arial" w:hAnsi="Arial" w:cs="Arial"/>
          <w:sz w:val="22"/>
          <w:szCs w:val="22"/>
        </w:rPr>
        <w:t>.</w:t>
      </w:r>
    </w:p>
    <w:p w:rsidR="00DB15B9" w:rsidRPr="006E3709" w:rsidRDefault="007E547C" w:rsidP="009D1D2D">
      <w:pPr>
        <w:pStyle w:val="Prrafodelista"/>
        <w:numPr>
          <w:ilvl w:val="2"/>
          <w:numId w:val="2"/>
        </w:numPr>
        <w:tabs>
          <w:tab w:val="clear" w:pos="1080"/>
          <w:tab w:val="num" w:pos="142"/>
          <w:tab w:val="num" w:pos="709"/>
        </w:tabs>
        <w:suppressAutoHyphens w:val="0"/>
        <w:spacing w:before="100" w:beforeAutospacing="1" w:after="100" w:afterAutospacing="1"/>
        <w:ind w:hanging="1506"/>
        <w:jc w:val="both"/>
        <w:rPr>
          <w:rFonts w:ascii="Arial" w:hAnsi="Arial"/>
          <w:b/>
          <w:sz w:val="22"/>
          <w:szCs w:val="22"/>
        </w:rPr>
      </w:pPr>
      <w:proofErr w:type="spellStart"/>
      <w:r w:rsidRPr="006E3709">
        <w:rPr>
          <w:rFonts w:ascii="Arial" w:hAnsi="Arial" w:cs="Arial"/>
          <w:b/>
          <w:sz w:val="22"/>
          <w:szCs w:val="22"/>
        </w:rPr>
        <w:t>DLSyCV</w:t>
      </w:r>
      <w:proofErr w:type="spellEnd"/>
      <w:r w:rsidRPr="006E3709">
        <w:rPr>
          <w:rFonts w:ascii="Arial" w:hAnsi="Arial" w:cs="Arial"/>
          <w:b/>
          <w:sz w:val="22"/>
          <w:szCs w:val="22"/>
        </w:rPr>
        <w:t xml:space="preserve">: </w:t>
      </w:r>
      <w:r w:rsidRPr="006E3709">
        <w:rPr>
          <w:rFonts w:ascii="Arial" w:hAnsi="Arial" w:cs="Arial"/>
          <w:sz w:val="22"/>
          <w:szCs w:val="22"/>
        </w:rPr>
        <w:t>Departamento de Laboratorio de semillas y Calidad Vegetal</w:t>
      </w:r>
      <w:r w:rsidR="00D37FC0" w:rsidRPr="006E3709">
        <w:rPr>
          <w:rFonts w:ascii="Arial" w:hAnsi="Arial" w:cs="Arial"/>
          <w:sz w:val="22"/>
          <w:szCs w:val="22"/>
        </w:rPr>
        <w:t>.</w:t>
      </w:r>
    </w:p>
    <w:p w:rsidR="00DB15B9" w:rsidRPr="006E3709" w:rsidRDefault="007E547C" w:rsidP="009D1D2D">
      <w:pPr>
        <w:pStyle w:val="Prrafodelista"/>
        <w:numPr>
          <w:ilvl w:val="2"/>
          <w:numId w:val="2"/>
        </w:numPr>
        <w:tabs>
          <w:tab w:val="clear" w:pos="1080"/>
          <w:tab w:val="num" w:pos="142"/>
          <w:tab w:val="num" w:pos="709"/>
        </w:tabs>
        <w:suppressAutoHyphens w:val="0"/>
        <w:spacing w:before="100" w:beforeAutospacing="1" w:after="100" w:afterAutospacing="1"/>
        <w:ind w:hanging="1506"/>
        <w:jc w:val="both"/>
        <w:rPr>
          <w:rFonts w:ascii="Arial" w:hAnsi="Arial"/>
          <w:b/>
          <w:sz w:val="22"/>
          <w:szCs w:val="22"/>
          <w:lang w:val="en-US"/>
        </w:rPr>
      </w:pPr>
      <w:r w:rsidRPr="006E3709">
        <w:rPr>
          <w:rFonts w:ascii="Arial" w:hAnsi="Arial" w:cs="Arial"/>
          <w:b/>
          <w:sz w:val="22"/>
          <w:szCs w:val="22"/>
          <w:lang w:val="en-US"/>
        </w:rPr>
        <w:t>ISTA:</w:t>
      </w:r>
      <w:r w:rsidRPr="006E3709">
        <w:rPr>
          <w:rFonts w:ascii="Arial" w:hAnsi="Arial" w:cs="Arial"/>
          <w:sz w:val="22"/>
          <w:szCs w:val="22"/>
          <w:lang w:val="en-US"/>
        </w:rPr>
        <w:t xml:space="preserve"> International Seed Testing Association.</w:t>
      </w:r>
    </w:p>
    <w:p w:rsidR="00DB15B9" w:rsidRPr="006E3709" w:rsidRDefault="007E547C" w:rsidP="009D1D2D">
      <w:pPr>
        <w:pStyle w:val="Prrafodelista"/>
        <w:numPr>
          <w:ilvl w:val="2"/>
          <w:numId w:val="2"/>
        </w:numPr>
        <w:tabs>
          <w:tab w:val="clear" w:pos="1080"/>
          <w:tab w:val="num" w:pos="142"/>
          <w:tab w:val="num" w:pos="709"/>
        </w:tabs>
        <w:suppressAutoHyphens w:val="0"/>
        <w:spacing w:before="100" w:beforeAutospacing="1" w:after="100" w:afterAutospacing="1"/>
        <w:ind w:left="993" w:hanging="1419"/>
        <w:jc w:val="both"/>
        <w:rPr>
          <w:rFonts w:ascii="Arial" w:hAnsi="Arial"/>
          <w:b/>
          <w:sz w:val="22"/>
          <w:szCs w:val="22"/>
        </w:rPr>
      </w:pPr>
      <w:proofErr w:type="spellStart"/>
      <w:r w:rsidRPr="006E3709">
        <w:rPr>
          <w:rFonts w:ascii="Arial" w:hAnsi="Arial" w:cs="Arial"/>
          <w:b/>
          <w:sz w:val="22"/>
          <w:szCs w:val="22"/>
        </w:rPr>
        <w:t>JDLSyCV</w:t>
      </w:r>
      <w:proofErr w:type="spellEnd"/>
      <w:r w:rsidRPr="006E3709">
        <w:rPr>
          <w:rFonts w:ascii="Arial" w:hAnsi="Arial" w:cs="Arial"/>
          <w:b/>
          <w:sz w:val="22"/>
          <w:szCs w:val="22"/>
        </w:rPr>
        <w:t xml:space="preserve">: </w:t>
      </w:r>
      <w:r w:rsidRPr="006E3709">
        <w:rPr>
          <w:rFonts w:ascii="Arial" w:hAnsi="Arial" w:cs="Arial"/>
          <w:sz w:val="22"/>
          <w:szCs w:val="22"/>
        </w:rPr>
        <w:t>Jefe del Departamento de Laboratorio de semillas y Calidad Vegetal</w:t>
      </w:r>
      <w:r w:rsidR="00D37FC0" w:rsidRPr="006E3709">
        <w:rPr>
          <w:rFonts w:ascii="Arial" w:hAnsi="Arial" w:cs="Arial"/>
          <w:sz w:val="22"/>
          <w:szCs w:val="22"/>
        </w:rPr>
        <w:t>.</w:t>
      </w:r>
    </w:p>
    <w:p w:rsidR="00DB15B9" w:rsidRPr="006E3709" w:rsidRDefault="007E547C" w:rsidP="009D1D2D">
      <w:pPr>
        <w:pStyle w:val="Prrafodelista"/>
        <w:numPr>
          <w:ilvl w:val="2"/>
          <w:numId w:val="2"/>
        </w:numPr>
        <w:tabs>
          <w:tab w:val="clear" w:pos="1080"/>
          <w:tab w:val="num" w:pos="142"/>
          <w:tab w:val="num" w:pos="709"/>
        </w:tabs>
        <w:suppressAutoHyphens w:val="0"/>
        <w:spacing w:before="100" w:beforeAutospacing="1" w:after="100" w:afterAutospacing="1"/>
        <w:ind w:left="993" w:hanging="1419"/>
        <w:jc w:val="both"/>
        <w:rPr>
          <w:rFonts w:ascii="Arial" w:hAnsi="Arial"/>
          <w:b/>
          <w:sz w:val="22"/>
          <w:szCs w:val="22"/>
        </w:rPr>
      </w:pPr>
      <w:proofErr w:type="spellStart"/>
      <w:r w:rsidRPr="006E3709">
        <w:rPr>
          <w:rFonts w:ascii="Arial" w:hAnsi="Arial" w:cs="Arial"/>
          <w:b/>
          <w:sz w:val="22"/>
          <w:szCs w:val="22"/>
        </w:rPr>
        <w:t>TDLSyCV</w:t>
      </w:r>
      <w:proofErr w:type="spellEnd"/>
      <w:r w:rsidRPr="006E3709">
        <w:rPr>
          <w:rFonts w:ascii="Arial" w:hAnsi="Arial" w:cs="Arial"/>
          <w:b/>
          <w:sz w:val="22"/>
          <w:szCs w:val="22"/>
        </w:rPr>
        <w:t>:</w:t>
      </w:r>
      <w:r w:rsidRPr="006E3709">
        <w:rPr>
          <w:rFonts w:ascii="Arial" w:hAnsi="Arial" w:cs="Arial"/>
          <w:sz w:val="22"/>
          <w:szCs w:val="22"/>
        </w:rPr>
        <w:t xml:space="preserve"> Técnico del Departamento de Laboratorio de semillas y Calidad Vegetal</w:t>
      </w:r>
      <w:r w:rsidR="00D37FC0" w:rsidRPr="006E3709">
        <w:rPr>
          <w:rFonts w:ascii="Arial" w:hAnsi="Arial" w:cs="Arial"/>
          <w:sz w:val="22"/>
          <w:szCs w:val="22"/>
        </w:rPr>
        <w:t>.</w:t>
      </w:r>
    </w:p>
    <w:p w:rsidR="009D1D2D" w:rsidRPr="006E3709" w:rsidRDefault="007E547C" w:rsidP="009D1D2D">
      <w:pPr>
        <w:pStyle w:val="Prrafodelista"/>
        <w:numPr>
          <w:ilvl w:val="2"/>
          <w:numId w:val="2"/>
        </w:numPr>
        <w:tabs>
          <w:tab w:val="clear" w:pos="1080"/>
          <w:tab w:val="num" w:pos="142"/>
          <w:tab w:val="num" w:pos="709"/>
        </w:tabs>
        <w:suppressAutoHyphens w:val="0"/>
        <w:spacing w:before="100" w:beforeAutospacing="1"/>
        <w:ind w:left="993" w:hanging="1419"/>
        <w:jc w:val="both"/>
        <w:rPr>
          <w:rFonts w:ascii="Arial" w:hAnsi="Arial"/>
          <w:b/>
          <w:sz w:val="22"/>
          <w:szCs w:val="22"/>
        </w:rPr>
      </w:pPr>
      <w:proofErr w:type="spellStart"/>
      <w:r w:rsidRPr="006E3709">
        <w:rPr>
          <w:rFonts w:ascii="Arial" w:hAnsi="Arial" w:cs="Arial"/>
          <w:b/>
          <w:sz w:val="22"/>
          <w:szCs w:val="22"/>
        </w:rPr>
        <w:t>Tz</w:t>
      </w:r>
      <w:proofErr w:type="spellEnd"/>
      <w:r w:rsidRPr="006E3709">
        <w:rPr>
          <w:rFonts w:ascii="Arial" w:hAnsi="Arial" w:cs="Arial"/>
          <w:b/>
          <w:sz w:val="22"/>
          <w:szCs w:val="22"/>
        </w:rPr>
        <w:t xml:space="preserve">: </w:t>
      </w:r>
      <w:r w:rsidRPr="006E3709">
        <w:rPr>
          <w:rFonts w:ascii="Arial" w:hAnsi="Arial" w:cs="Arial"/>
          <w:sz w:val="22"/>
          <w:szCs w:val="22"/>
        </w:rPr>
        <w:t xml:space="preserve">Sal de </w:t>
      </w:r>
      <w:proofErr w:type="spellStart"/>
      <w:r w:rsidRPr="006E3709">
        <w:rPr>
          <w:rFonts w:ascii="Arial" w:hAnsi="Arial" w:cs="Arial"/>
          <w:sz w:val="22"/>
          <w:szCs w:val="22"/>
        </w:rPr>
        <w:t>tetrazolio</w:t>
      </w:r>
      <w:proofErr w:type="spellEnd"/>
      <w:r w:rsidR="00D37FC0" w:rsidRPr="006E3709">
        <w:rPr>
          <w:rFonts w:ascii="Arial" w:hAnsi="Arial" w:cs="Arial"/>
          <w:sz w:val="22"/>
          <w:szCs w:val="22"/>
        </w:rPr>
        <w:t>.</w:t>
      </w:r>
    </w:p>
    <w:p w:rsidR="009D1D2D" w:rsidRPr="006E3709" w:rsidRDefault="009D1D2D" w:rsidP="009D1D2D">
      <w:pPr>
        <w:pStyle w:val="Prrafodelista"/>
        <w:tabs>
          <w:tab w:val="num" w:pos="709"/>
        </w:tabs>
        <w:suppressAutoHyphens w:val="0"/>
        <w:ind w:left="993"/>
        <w:jc w:val="both"/>
        <w:rPr>
          <w:rFonts w:ascii="Arial" w:hAnsi="Arial"/>
          <w:b/>
          <w:sz w:val="22"/>
          <w:szCs w:val="22"/>
        </w:rPr>
      </w:pPr>
    </w:p>
    <w:p w:rsidR="00DB15B9" w:rsidRPr="006E3709" w:rsidRDefault="003604AA" w:rsidP="009D1D2D">
      <w:pPr>
        <w:pStyle w:val="Prrafodelista"/>
        <w:numPr>
          <w:ilvl w:val="1"/>
          <w:numId w:val="2"/>
        </w:numPr>
        <w:tabs>
          <w:tab w:val="clear" w:pos="643"/>
          <w:tab w:val="num" w:pos="142"/>
        </w:tabs>
        <w:ind w:hanging="1069"/>
        <w:rPr>
          <w:rFonts w:ascii="Arial" w:hAnsi="Arial"/>
          <w:b/>
          <w:sz w:val="22"/>
          <w:szCs w:val="22"/>
        </w:rPr>
      </w:pPr>
      <w:r w:rsidRPr="006E3709">
        <w:rPr>
          <w:rFonts w:ascii="Arial" w:hAnsi="Arial"/>
          <w:b/>
          <w:sz w:val="22"/>
          <w:szCs w:val="22"/>
        </w:rPr>
        <w:t>D</w:t>
      </w:r>
      <w:r w:rsidR="00DB15B9" w:rsidRPr="006E3709">
        <w:rPr>
          <w:rFonts w:ascii="Arial" w:hAnsi="Arial"/>
          <w:b/>
          <w:sz w:val="22"/>
          <w:szCs w:val="22"/>
        </w:rPr>
        <w:t>efiniciones</w:t>
      </w:r>
      <w:r w:rsidRPr="006E3709">
        <w:rPr>
          <w:rFonts w:ascii="Arial" w:hAnsi="Arial"/>
          <w:b/>
          <w:sz w:val="22"/>
          <w:szCs w:val="22"/>
        </w:rPr>
        <w:t>:</w:t>
      </w:r>
    </w:p>
    <w:p w:rsidR="00DB15B9" w:rsidRPr="006E3709" w:rsidRDefault="00677F2B"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Cotiledón</w:t>
      </w:r>
      <w:r w:rsidR="00452DAC" w:rsidRPr="006E3709">
        <w:rPr>
          <w:rFonts w:ascii="Arial" w:hAnsi="Arial"/>
          <w:b/>
          <w:sz w:val="22"/>
          <w:szCs w:val="22"/>
        </w:rPr>
        <w:t>:</w:t>
      </w:r>
      <w:r w:rsidR="00695517" w:rsidRPr="006E3709">
        <w:rPr>
          <w:rFonts w:ascii="Arial" w:hAnsi="Arial"/>
          <w:b/>
          <w:sz w:val="22"/>
          <w:szCs w:val="22"/>
        </w:rPr>
        <w:t xml:space="preserve"> </w:t>
      </w:r>
      <w:r w:rsidR="00695517" w:rsidRPr="006E3709">
        <w:rPr>
          <w:rFonts w:ascii="Arial" w:hAnsi="Arial"/>
          <w:sz w:val="22"/>
          <w:szCs w:val="22"/>
        </w:rPr>
        <w:t>forman parte del embrión</w:t>
      </w:r>
      <w:r w:rsidR="00B265EC" w:rsidRPr="006E3709">
        <w:rPr>
          <w:rFonts w:ascii="Arial" w:hAnsi="Arial"/>
          <w:sz w:val="22"/>
          <w:szCs w:val="22"/>
        </w:rPr>
        <w:t>, primera hoja (no foliar) o par de hojas del embrión y plántula</w:t>
      </w:r>
      <w:r w:rsidR="00695517" w:rsidRPr="006E3709">
        <w:rPr>
          <w:rFonts w:ascii="Arial" w:hAnsi="Arial"/>
          <w:sz w:val="22"/>
          <w:szCs w:val="22"/>
        </w:rPr>
        <w:t xml:space="preserve">. Su función es la de mantener la plántula al principio de su vida, suministrándole los elementos nutritivos almacenados o </w:t>
      </w:r>
      <w:proofErr w:type="spellStart"/>
      <w:r w:rsidR="0089796D" w:rsidRPr="006E3709">
        <w:rPr>
          <w:rFonts w:ascii="Arial" w:hAnsi="Arial"/>
          <w:sz w:val="22"/>
          <w:szCs w:val="22"/>
        </w:rPr>
        <w:t>fotosintetizados</w:t>
      </w:r>
      <w:proofErr w:type="spellEnd"/>
      <w:r w:rsidR="00695517" w:rsidRPr="006E3709">
        <w:rPr>
          <w:rFonts w:ascii="Arial" w:hAnsi="Arial"/>
          <w:sz w:val="22"/>
          <w:szCs w:val="22"/>
        </w:rPr>
        <w:t xml:space="preserve"> por ellos. </w:t>
      </w:r>
    </w:p>
    <w:p w:rsidR="00D82B1A" w:rsidRPr="006E3709" w:rsidRDefault="00D82B1A" w:rsidP="00D82B1A">
      <w:pPr>
        <w:pStyle w:val="Prrafodelista"/>
        <w:ind w:left="284"/>
        <w:jc w:val="both"/>
        <w:rPr>
          <w:rFonts w:ascii="Arial" w:hAnsi="Arial"/>
          <w:b/>
          <w:sz w:val="22"/>
          <w:szCs w:val="22"/>
        </w:rPr>
      </w:pPr>
    </w:p>
    <w:p w:rsidR="00DB15B9" w:rsidRPr="006E3709" w:rsidRDefault="000A6085"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Embrión:</w:t>
      </w:r>
      <w:r w:rsidR="00B265EC" w:rsidRPr="006E3709">
        <w:rPr>
          <w:rFonts w:ascii="Arial" w:hAnsi="Arial"/>
          <w:b/>
          <w:sz w:val="22"/>
          <w:szCs w:val="22"/>
        </w:rPr>
        <w:t xml:space="preserve"> </w:t>
      </w:r>
      <w:r w:rsidR="00B265EC" w:rsidRPr="006E3709">
        <w:rPr>
          <w:rFonts w:ascii="Arial" w:hAnsi="Arial"/>
          <w:sz w:val="22"/>
          <w:szCs w:val="22"/>
        </w:rPr>
        <w:t xml:space="preserve">planta inicial contenida en una semilla, normalmente consistente en un eje, más o menos diferenciados y con el (los) cotiledón (es) unido (s). </w:t>
      </w:r>
    </w:p>
    <w:p w:rsidR="00D82B1A" w:rsidRPr="006E3709" w:rsidRDefault="00D82B1A" w:rsidP="00D82B1A">
      <w:pPr>
        <w:jc w:val="both"/>
        <w:rPr>
          <w:rFonts w:ascii="Arial" w:hAnsi="Arial"/>
          <w:b/>
          <w:sz w:val="22"/>
          <w:szCs w:val="22"/>
        </w:rPr>
      </w:pPr>
    </w:p>
    <w:p w:rsidR="00DB15B9" w:rsidRPr="006E3709" w:rsidRDefault="00B265EC"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Endospermo</w:t>
      </w:r>
      <w:r w:rsidR="00452DAC" w:rsidRPr="006E3709">
        <w:rPr>
          <w:rFonts w:ascii="Arial" w:hAnsi="Arial"/>
          <w:b/>
          <w:sz w:val="22"/>
          <w:szCs w:val="22"/>
        </w:rPr>
        <w:t>:</w:t>
      </w:r>
      <w:r w:rsidR="0089796D" w:rsidRPr="006E3709">
        <w:rPr>
          <w:rFonts w:ascii="Arial" w:hAnsi="Arial"/>
          <w:b/>
          <w:sz w:val="22"/>
          <w:szCs w:val="22"/>
        </w:rPr>
        <w:t xml:space="preserve"> </w:t>
      </w:r>
      <w:r w:rsidRPr="006E3709">
        <w:rPr>
          <w:rFonts w:ascii="Arial" w:hAnsi="Arial"/>
          <w:sz w:val="22"/>
          <w:szCs w:val="22"/>
        </w:rPr>
        <w:t xml:space="preserve">tejido nutritivo que se origina en la fertilización y es retenido en la maduración en algunas semillas como tejido de almacenamiento de sustancias de reservas. </w:t>
      </w:r>
    </w:p>
    <w:p w:rsidR="00D82B1A" w:rsidRPr="006E3709" w:rsidRDefault="00D82B1A" w:rsidP="00D82B1A">
      <w:pPr>
        <w:jc w:val="both"/>
        <w:rPr>
          <w:rFonts w:ascii="Arial" w:hAnsi="Arial"/>
          <w:b/>
          <w:sz w:val="22"/>
          <w:szCs w:val="22"/>
        </w:rPr>
      </w:pPr>
    </w:p>
    <w:p w:rsidR="00DB15B9" w:rsidRPr="006E3709" w:rsidRDefault="00B265EC"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T</w:t>
      </w:r>
      <w:r w:rsidR="000A6085" w:rsidRPr="006E3709">
        <w:rPr>
          <w:rFonts w:ascii="Arial" w:hAnsi="Arial"/>
          <w:b/>
          <w:sz w:val="22"/>
          <w:szCs w:val="22"/>
        </w:rPr>
        <w:t>ratamiento:</w:t>
      </w:r>
      <w:r w:rsidRPr="006E3709">
        <w:rPr>
          <w:rFonts w:ascii="Arial" w:hAnsi="Arial"/>
          <w:b/>
          <w:sz w:val="22"/>
          <w:szCs w:val="22"/>
        </w:rPr>
        <w:t xml:space="preserve"> </w:t>
      </w:r>
      <w:r w:rsidRPr="006E3709">
        <w:rPr>
          <w:rFonts w:ascii="Arial" w:hAnsi="Arial"/>
          <w:sz w:val="22"/>
          <w:szCs w:val="22"/>
        </w:rPr>
        <w:t>modo de trabajar ciertas materias para su transformación.</w:t>
      </w:r>
    </w:p>
    <w:p w:rsidR="00D82B1A" w:rsidRPr="006E3709" w:rsidRDefault="00D82B1A" w:rsidP="00D82B1A">
      <w:pPr>
        <w:jc w:val="both"/>
        <w:rPr>
          <w:rFonts w:ascii="Arial" w:hAnsi="Arial"/>
          <w:b/>
          <w:sz w:val="22"/>
          <w:szCs w:val="22"/>
        </w:rPr>
      </w:pPr>
    </w:p>
    <w:p w:rsidR="00DB15B9" w:rsidRPr="006E3709" w:rsidRDefault="00914646"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 xml:space="preserve">Semillas Frescas: </w:t>
      </w:r>
      <w:r w:rsidRPr="006E3709">
        <w:rPr>
          <w:rFonts w:ascii="Arial" w:hAnsi="Arial"/>
          <w:sz w:val="22"/>
          <w:szCs w:val="22"/>
        </w:rPr>
        <w:t>semillas que no germinaron durante el análisis, pero que se mantienen firmes y tienen potencial de desarrollarse en plantas normales.</w:t>
      </w:r>
    </w:p>
    <w:p w:rsidR="00D82B1A" w:rsidRPr="006E3709" w:rsidRDefault="00D82B1A" w:rsidP="00D82B1A">
      <w:pPr>
        <w:jc w:val="both"/>
        <w:rPr>
          <w:rFonts w:ascii="Arial" w:hAnsi="Arial"/>
          <w:b/>
          <w:sz w:val="22"/>
          <w:szCs w:val="22"/>
        </w:rPr>
      </w:pPr>
    </w:p>
    <w:p w:rsidR="00DB15B9" w:rsidRPr="006E3709" w:rsidRDefault="00914646"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 xml:space="preserve">Semillas duras: </w:t>
      </w:r>
      <w:r w:rsidRPr="006E3709">
        <w:rPr>
          <w:rFonts w:ascii="Arial" w:hAnsi="Arial"/>
          <w:sz w:val="22"/>
          <w:szCs w:val="22"/>
        </w:rPr>
        <w:t>semillas que al final del periodo del análisis permanecen duras porque no absorbieron agua.</w:t>
      </w:r>
    </w:p>
    <w:p w:rsidR="00D82B1A" w:rsidRPr="006E3709" w:rsidRDefault="00D82B1A" w:rsidP="00D82B1A">
      <w:pPr>
        <w:jc w:val="both"/>
        <w:rPr>
          <w:rFonts w:ascii="Arial" w:hAnsi="Arial"/>
          <w:b/>
          <w:sz w:val="22"/>
          <w:szCs w:val="22"/>
        </w:rPr>
      </w:pPr>
    </w:p>
    <w:p w:rsidR="00DB15B9" w:rsidRPr="006E3709" w:rsidRDefault="00E50C5E"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 xml:space="preserve">Solución de </w:t>
      </w:r>
      <w:r w:rsidR="000A6085" w:rsidRPr="006E3709">
        <w:rPr>
          <w:rFonts w:ascii="Arial" w:hAnsi="Arial"/>
          <w:b/>
          <w:sz w:val="22"/>
          <w:szCs w:val="22"/>
        </w:rPr>
        <w:t>Tetrazolio:</w:t>
      </w:r>
      <w:r w:rsidR="00677F2B" w:rsidRPr="006E3709">
        <w:rPr>
          <w:rFonts w:ascii="Arial" w:hAnsi="Arial"/>
          <w:b/>
          <w:sz w:val="22"/>
          <w:szCs w:val="22"/>
        </w:rPr>
        <w:t xml:space="preserve"> </w:t>
      </w:r>
      <w:r w:rsidRPr="006E3709">
        <w:rPr>
          <w:rFonts w:ascii="Arial" w:hAnsi="Arial"/>
          <w:sz w:val="22"/>
          <w:szCs w:val="22"/>
        </w:rPr>
        <w:t xml:space="preserve">solución acuosa de cloruro o bromuro de 2, 3,5-trifenil tetrazolio con pH 6,5 – 7,5. </w:t>
      </w:r>
    </w:p>
    <w:p w:rsidR="00D82B1A" w:rsidRPr="006E3709" w:rsidRDefault="00D82B1A" w:rsidP="00D82B1A">
      <w:pPr>
        <w:jc w:val="both"/>
        <w:rPr>
          <w:rFonts w:ascii="Arial" w:hAnsi="Arial"/>
          <w:b/>
          <w:sz w:val="22"/>
          <w:szCs w:val="22"/>
        </w:rPr>
      </w:pPr>
    </w:p>
    <w:p w:rsidR="00D82B1A" w:rsidRPr="006E3709" w:rsidRDefault="000A6085"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Viabilidad:</w:t>
      </w:r>
      <w:r w:rsidR="009773E9" w:rsidRPr="006E3709">
        <w:rPr>
          <w:rFonts w:ascii="Arial" w:hAnsi="Arial"/>
          <w:sz w:val="22"/>
          <w:szCs w:val="22"/>
        </w:rPr>
        <w:t xml:space="preserve"> </w:t>
      </w:r>
      <w:r w:rsidR="00CE61F4" w:rsidRPr="006E3709">
        <w:rPr>
          <w:rFonts w:ascii="Arial" w:hAnsi="Arial"/>
          <w:sz w:val="22"/>
          <w:szCs w:val="22"/>
        </w:rPr>
        <w:t xml:space="preserve">Capacidad inherente de una semilla para germinar y producir una plántula normal. Capacidad potencial de un lote de semillas para germinar. </w:t>
      </w:r>
    </w:p>
    <w:p w:rsidR="00DB15B9" w:rsidRPr="006E3709" w:rsidRDefault="00695517" w:rsidP="00D82B1A">
      <w:pPr>
        <w:jc w:val="both"/>
        <w:rPr>
          <w:rFonts w:ascii="Arial" w:hAnsi="Arial"/>
          <w:b/>
          <w:sz w:val="22"/>
          <w:szCs w:val="22"/>
        </w:rPr>
      </w:pPr>
      <w:r w:rsidRPr="006E3709">
        <w:rPr>
          <w:rFonts w:ascii="Arial" w:hAnsi="Arial"/>
          <w:sz w:val="22"/>
          <w:szCs w:val="22"/>
        </w:rPr>
        <w:t xml:space="preserve">        </w:t>
      </w:r>
    </w:p>
    <w:p w:rsidR="00DB15B9" w:rsidRPr="006E3709" w:rsidRDefault="00677F2B" w:rsidP="009D1D2D">
      <w:pPr>
        <w:pStyle w:val="Prrafodelista"/>
        <w:numPr>
          <w:ilvl w:val="2"/>
          <w:numId w:val="2"/>
        </w:numPr>
        <w:tabs>
          <w:tab w:val="clear" w:pos="1080"/>
        </w:tabs>
        <w:ind w:left="284" w:hanging="710"/>
        <w:jc w:val="both"/>
        <w:rPr>
          <w:rFonts w:ascii="Arial" w:hAnsi="Arial"/>
          <w:b/>
          <w:sz w:val="22"/>
          <w:szCs w:val="22"/>
        </w:rPr>
      </w:pPr>
      <w:r w:rsidRPr="006E3709">
        <w:rPr>
          <w:rFonts w:ascii="Arial" w:hAnsi="Arial"/>
          <w:b/>
          <w:sz w:val="22"/>
          <w:szCs w:val="22"/>
        </w:rPr>
        <w:t xml:space="preserve">Ensayo Topográfico con tetrazolio: </w:t>
      </w:r>
      <w:r w:rsidRPr="006E3709">
        <w:rPr>
          <w:rFonts w:ascii="Arial" w:hAnsi="Arial"/>
          <w:sz w:val="22"/>
          <w:szCs w:val="22"/>
        </w:rPr>
        <w:t>es una prueba bioquímica usada para hacer una rápida estimación de la viabilidad de las semillas.</w:t>
      </w:r>
    </w:p>
    <w:p w:rsidR="00DB15B9" w:rsidRPr="006E3709" w:rsidRDefault="007E60E1" w:rsidP="009D1D2D">
      <w:pPr>
        <w:pStyle w:val="Prrafodelista"/>
        <w:numPr>
          <w:ilvl w:val="2"/>
          <w:numId w:val="2"/>
        </w:numPr>
        <w:tabs>
          <w:tab w:val="clear" w:pos="1080"/>
        </w:tabs>
        <w:ind w:left="284" w:hanging="710"/>
        <w:jc w:val="both"/>
        <w:rPr>
          <w:rFonts w:ascii="Arial" w:hAnsi="Arial"/>
          <w:b/>
          <w:sz w:val="22"/>
          <w:szCs w:val="22"/>
        </w:rPr>
      </w:pPr>
      <w:proofErr w:type="spellStart"/>
      <w:r w:rsidRPr="006E3709">
        <w:rPr>
          <w:rFonts w:ascii="Arial" w:hAnsi="Arial"/>
          <w:b/>
          <w:sz w:val="22"/>
          <w:szCs w:val="22"/>
        </w:rPr>
        <w:t>Dormencia</w:t>
      </w:r>
      <w:proofErr w:type="spellEnd"/>
      <w:r w:rsidRPr="006E3709">
        <w:rPr>
          <w:rFonts w:ascii="Arial" w:hAnsi="Arial"/>
          <w:b/>
          <w:sz w:val="22"/>
          <w:szCs w:val="22"/>
        </w:rPr>
        <w:t>- Latencia de semillas:</w:t>
      </w:r>
      <w:r w:rsidRPr="006E3709">
        <w:rPr>
          <w:rFonts w:ascii="Arial" w:hAnsi="Arial"/>
          <w:sz w:val="22"/>
          <w:szCs w:val="22"/>
        </w:rPr>
        <w:t xml:space="preserve"> incapacidad de una semilla intacta y viable de germinar bajo condiciones de temperatura, humedad y concentración de gases que serían adecuados para la germinación (Condiciones favorables).</w:t>
      </w:r>
    </w:p>
    <w:p w:rsidR="00D82B1A" w:rsidRPr="006E3709" w:rsidRDefault="00D82B1A" w:rsidP="00D82B1A">
      <w:pPr>
        <w:pStyle w:val="Prrafodelista"/>
        <w:ind w:left="284"/>
        <w:jc w:val="both"/>
        <w:rPr>
          <w:rFonts w:ascii="Arial" w:hAnsi="Arial"/>
          <w:b/>
          <w:sz w:val="22"/>
          <w:szCs w:val="22"/>
        </w:rPr>
      </w:pPr>
    </w:p>
    <w:p w:rsidR="00DB15B9" w:rsidRPr="006E3709" w:rsidRDefault="00677F2B" w:rsidP="009D1D2D">
      <w:pPr>
        <w:pStyle w:val="Prrafodelista"/>
        <w:numPr>
          <w:ilvl w:val="2"/>
          <w:numId w:val="2"/>
        </w:numPr>
        <w:tabs>
          <w:tab w:val="clear" w:pos="1080"/>
          <w:tab w:val="num" w:pos="709"/>
        </w:tabs>
        <w:ind w:left="284" w:hanging="710"/>
        <w:jc w:val="both"/>
        <w:rPr>
          <w:rFonts w:ascii="Arial" w:hAnsi="Arial"/>
          <w:b/>
          <w:sz w:val="22"/>
          <w:szCs w:val="22"/>
        </w:rPr>
      </w:pPr>
      <w:r w:rsidRPr="006E3709">
        <w:rPr>
          <w:rFonts w:ascii="Arial" w:hAnsi="Arial"/>
          <w:b/>
          <w:sz w:val="22"/>
          <w:szCs w:val="22"/>
        </w:rPr>
        <w:t>Semilla viable:</w:t>
      </w:r>
      <w:r w:rsidR="00BE4100" w:rsidRPr="006E3709">
        <w:rPr>
          <w:rFonts w:ascii="Arial" w:hAnsi="Arial"/>
          <w:b/>
          <w:sz w:val="22"/>
          <w:szCs w:val="22"/>
        </w:rPr>
        <w:t xml:space="preserve"> </w:t>
      </w:r>
      <w:r w:rsidR="00BE4100" w:rsidRPr="006E3709">
        <w:rPr>
          <w:rFonts w:ascii="Arial" w:hAnsi="Arial"/>
          <w:sz w:val="22"/>
          <w:szCs w:val="22"/>
        </w:rPr>
        <w:t>es aquella que</w:t>
      </w:r>
      <w:r w:rsidR="00751492" w:rsidRPr="006E3709">
        <w:rPr>
          <w:rFonts w:ascii="Arial" w:hAnsi="Arial"/>
          <w:sz w:val="22"/>
          <w:szCs w:val="22"/>
        </w:rPr>
        <w:t xml:space="preserve"> se</w:t>
      </w:r>
      <w:r w:rsidR="00BE4100" w:rsidRPr="006E3709">
        <w:rPr>
          <w:rFonts w:ascii="Arial" w:hAnsi="Arial"/>
          <w:sz w:val="22"/>
          <w:szCs w:val="22"/>
        </w:rPr>
        <w:t xml:space="preserve"> presenta</w:t>
      </w:r>
      <w:r w:rsidR="00751492" w:rsidRPr="006E3709">
        <w:rPr>
          <w:rFonts w:ascii="Arial" w:hAnsi="Arial"/>
          <w:sz w:val="22"/>
          <w:szCs w:val="22"/>
        </w:rPr>
        <w:t>n</w:t>
      </w:r>
      <w:r w:rsidR="00BE4100" w:rsidRPr="006E3709">
        <w:rPr>
          <w:rFonts w:ascii="Arial" w:hAnsi="Arial"/>
          <w:sz w:val="22"/>
          <w:szCs w:val="22"/>
        </w:rPr>
        <w:t xml:space="preserve"> teñida de rojo todos los tejidos necesarios para el desarrollo de una plántula normal</w:t>
      </w:r>
      <w:r w:rsidR="00BE4100" w:rsidRPr="006E3709">
        <w:rPr>
          <w:rFonts w:ascii="Arial" w:hAnsi="Arial"/>
          <w:b/>
          <w:sz w:val="22"/>
          <w:szCs w:val="22"/>
        </w:rPr>
        <w:t>.</w:t>
      </w:r>
    </w:p>
    <w:p w:rsidR="00D82B1A" w:rsidRPr="006E3709" w:rsidRDefault="00D82B1A" w:rsidP="00D82B1A">
      <w:pPr>
        <w:jc w:val="both"/>
        <w:rPr>
          <w:rFonts w:ascii="Arial" w:hAnsi="Arial"/>
          <w:b/>
          <w:sz w:val="22"/>
          <w:szCs w:val="22"/>
        </w:rPr>
      </w:pPr>
    </w:p>
    <w:p w:rsidR="00677F2B" w:rsidRPr="006E3709" w:rsidRDefault="00677F2B" w:rsidP="009D1D2D">
      <w:pPr>
        <w:pStyle w:val="Prrafodelista"/>
        <w:numPr>
          <w:ilvl w:val="2"/>
          <w:numId w:val="2"/>
        </w:numPr>
        <w:tabs>
          <w:tab w:val="clear" w:pos="1080"/>
          <w:tab w:val="num" w:pos="709"/>
        </w:tabs>
        <w:ind w:left="284" w:hanging="710"/>
        <w:jc w:val="both"/>
        <w:rPr>
          <w:rFonts w:ascii="Arial" w:hAnsi="Arial"/>
          <w:b/>
          <w:sz w:val="22"/>
          <w:szCs w:val="22"/>
        </w:rPr>
      </w:pPr>
      <w:r w:rsidRPr="006E3709">
        <w:rPr>
          <w:rFonts w:ascii="Arial" w:hAnsi="Arial"/>
          <w:b/>
          <w:sz w:val="22"/>
          <w:szCs w:val="22"/>
        </w:rPr>
        <w:lastRenderedPageBreak/>
        <w:t>Semilla no viable:</w:t>
      </w:r>
      <w:r w:rsidR="00BE4100" w:rsidRPr="006E3709">
        <w:rPr>
          <w:rFonts w:ascii="Arial" w:hAnsi="Arial"/>
          <w:b/>
          <w:sz w:val="22"/>
          <w:szCs w:val="22"/>
        </w:rPr>
        <w:t xml:space="preserve"> </w:t>
      </w:r>
      <w:r w:rsidR="00BE4100" w:rsidRPr="006E3709">
        <w:rPr>
          <w:rFonts w:ascii="Arial" w:hAnsi="Arial"/>
          <w:sz w:val="22"/>
          <w:szCs w:val="22"/>
        </w:rPr>
        <w:t>es aquella que presenta deficiencia y/o anormalidades de tal naturaleza que impiden que se desarrolle una plántula normal.</w:t>
      </w:r>
    </w:p>
    <w:p w:rsidR="001F42AB" w:rsidRPr="006E3709" w:rsidRDefault="001F42AB" w:rsidP="009D1D2D">
      <w:pPr>
        <w:tabs>
          <w:tab w:val="left" w:pos="1134"/>
        </w:tabs>
        <w:jc w:val="both"/>
        <w:rPr>
          <w:rFonts w:ascii="Arial" w:hAnsi="Arial"/>
          <w:color w:val="000000"/>
          <w:sz w:val="22"/>
          <w:szCs w:val="22"/>
        </w:rPr>
      </w:pPr>
    </w:p>
    <w:p w:rsidR="0003787C" w:rsidRPr="006E3709" w:rsidRDefault="00DB15B9" w:rsidP="009D1D2D">
      <w:pPr>
        <w:numPr>
          <w:ilvl w:val="0"/>
          <w:numId w:val="2"/>
        </w:numPr>
        <w:tabs>
          <w:tab w:val="clear" w:pos="720"/>
          <w:tab w:val="left" w:pos="284"/>
        </w:tabs>
        <w:ind w:left="-142" w:hanging="284"/>
        <w:rPr>
          <w:rFonts w:ascii="Arial" w:hAnsi="Arial"/>
          <w:b/>
          <w:color w:val="000000"/>
          <w:sz w:val="22"/>
          <w:szCs w:val="22"/>
        </w:rPr>
      </w:pPr>
      <w:r w:rsidRPr="006E3709">
        <w:rPr>
          <w:rFonts w:ascii="Arial" w:hAnsi="Arial"/>
          <w:b/>
          <w:color w:val="000000"/>
          <w:sz w:val="22"/>
          <w:szCs w:val="22"/>
        </w:rPr>
        <w:t>RESPONSABLE</w:t>
      </w:r>
    </w:p>
    <w:p w:rsidR="00497D08" w:rsidRPr="006E3709" w:rsidRDefault="00497D08">
      <w:pPr>
        <w:rPr>
          <w:rFonts w:ascii="Arial" w:hAnsi="Arial"/>
          <w:color w:val="000000"/>
          <w:sz w:val="22"/>
          <w:szCs w:val="22"/>
        </w:rPr>
      </w:pPr>
    </w:p>
    <w:p w:rsidR="00497D08" w:rsidRPr="006E3709" w:rsidRDefault="007E547C" w:rsidP="009D1D2D">
      <w:pPr>
        <w:ind w:left="-426"/>
        <w:jc w:val="both"/>
        <w:rPr>
          <w:rFonts w:ascii="Arial" w:hAnsi="Arial"/>
          <w:color w:val="000000"/>
          <w:sz w:val="22"/>
          <w:szCs w:val="22"/>
        </w:rPr>
      </w:pPr>
      <w:r w:rsidRPr="006E3709">
        <w:rPr>
          <w:rFonts w:ascii="Arial" w:hAnsi="Arial"/>
          <w:color w:val="000000"/>
          <w:sz w:val="22"/>
          <w:szCs w:val="22"/>
        </w:rPr>
        <w:t xml:space="preserve">Son responsables de la aplicación de este procedimiento los </w:t>
      </w:r>
      <w:proofErr w:type="spellStart"/>
      <w:r w:rsidRPr="006E3709">
        <w:rPr>
          <w:rFonts w:ascii="Arial" w:hAnsi="Arial"/>
          <w:color w:val="000000"/>
          <w:sz w:val="22"/>
          <w:szCs w:val="22"/>
        </w:rPr>
        <w:t>TDLSyCV</w:t>
      </w:r>
      <w:proofErr w:type="spellEnd"/>
      <w:r w:rsidRPr="006E3709">
        <w:rPr>
          <w:rFonts w:ascii="Arial" w:hAnsi="Arial"/>
          <w:color w:val="000000"/>
          <w:sz w:val="22"/>
          <w:szCs w:val="22"/>
        </w:rPr>
        <w:t xml:space="preserve"> designados para realizar este análisis y el </w:t>
      </w:r>
      <w:proofErr w:type="spellStart"/>
      <w:r w:rsidRPr="006E3709">
        <w:rPr>
          <w:rFonts w:ascii="Arial" w:hAnsi="Arial"/>
          <w:color w:val="000000"/>
          <w:sz w:val="22"/>
          <w:szCs w:val="22"/>
        </w:rPr>
        <w:t>JDLSyCV</w:t>
      </w:r>
      <w:proofErr w:type="spellEnd"/>
      <w:r w:rsidRPr="006E3709">
        <w:rPr>
          <w:rFonts w:ascii="Arial" w:hAnsi="Arial"/>
          <w:color w:val="000000"/>
          <w:sz w:val="22"/>
          <w:szCs w:val="22"/>
        </w:rPr>
        <w:t xml:space="preserve"> de hacerlo cumplir.</w:t>
      </w:r>
    </w:p>
    <w:p w:rsidR="00497D08" w:rsidRPr="006E3709" w:rsidRDefault="00497D08">
      <w:pPr>
        <w:rPr>
          <w:rFonts w:ascii="Arial" w:hAnsi="Arial"/>
          <w:color w:val="000000"/>
          <w:sz w:val="22"/>
          <w:szCs w:val="22"/>
        </w:rPr>
      </w:pPr>
    </w:p>
    <w:p w:rsidR="00E0760C" w:rsidRPr="006E3709" w:rsidRDefault="00E0760C" w:rsidP="009D1D2D">
      <w:pPr>
        <w:numPr>
          <w:ilvl w:val="0"/>
          <w:numId w:val="2"/>
        </w:numPr>
        <w:tabs>
          <w:tab w:val="clear" w:pos="720"/>
          <w:tab w:val="left" w:pos="284"/>
        </w:tabs>
        <w:ind w:left="-142" w:hanging="284"/>
        <w:rPr>
          <w:rFonts w:ascii="Arial" w:hAnsi="Arial" w:cs="Arial"/>
          <w:b/>
          <w:sz w:val="22"/>
          <w:szCs w:val="22"/>
        </w:rPr>
      </w:pPr>
      <w:r w:rsidRPr="006E3709">
        <w:rPr>
          <w:rFonts w:ascii="Arial" w:hAnsi="Arial" w:cs="Arial"/>
          <w:b/>
          <w:sz w:val="22"/>
          <w:szCs w:val="22"/>
        </w:rPr>
        <w:t>ACTIVIDADES</w:t>
      </w:r>
    </w:p>
    <w:p w:rsidR="00E0760C" w:rsidRPr="006E3709" w:rsidRDefault="00E0760C" w:rsidP="00E0760C">
      <w:pPr>
        <w:pStyle w:val="Prrafodelista"/>
        <w:tabs>
          <w:tab w:val="left" w:pos="1641"/>
        </w:tabs>
        <w:rPr>
          <w:rFonts w:ascii="Arial" w:hAnsi="Arial" w:cs="Arial"/>
          <w:b/>
          <w:sz w:val="22"/>
          <w:szCs w:val="22"/>
        </w:rPr>
      </w:pPr>
    </w:p>
    <w:p w:rsidR="00E0760C" w:rsidRPr="006E3709" w:rsidRDefault="00E0760C" w:rsidP="009D1D2D">
      <w:pPr>
        <w:pStyle w:val="Prrafodelista"/>
        <w:numPr>
          <w:ilvl w:val="1"/>
          <w:numId w:val="35"/>
        </w:numPr>
        <w:tabs>
          <w:tab w:val="left" w:pos="1641"/>
        </w:tabs>
        <w:suppressAutoHyphens w:val="0"/>
        <w:spacing w:after="160" w:line="259" w:lineRule="auto"/>
        <w:ind w:left="0" w:hanging="426"/>
        <w:contextualSpacing/>
        <w:rPr>
          <w:rFonts w:ascii="Arial" w:hAnsi="Arial" w:cs="Arial"/>
          <w:b/>
          <w:sz w:val="22"/>
          <w:szCs w:val="22"/>
        </w:rPr>
      </w:pPr>
      <w:r w:rsidRPr="006E3709">
        <w:rPr>
          <w:rFonts w:ascii="Arial" w:hAnsi="Arial" w:cs="Arial"/>
          <w:b/>
          <w:sz w:val="22"/>
          <w:szCs w:val="22"/>
        </w:rPr>
        <w:t>Llenado de Boletín Interno</w:t>
      </w:r>
    </w:p>
    <w:p w:rsidR="008F45E4" w:rsidRPr="006E3709" w:rsidRDefault="008F45E4" w:rsidP="009D1D2D">
      <w:pPr>
        <w:tabs>
          <w:tab w:val="left" w:pos="1641"/>
        </w:tabs>
        <w:ind w:hanging="426"/>
        <w:jc w:val="both"/>
        <w:rPr>
          <w:rFonts w:ascii="Arial" w:hAnsi="Arial" w:cs="Arial"/>
          <w:sz w:val="22"/>
          <w:szCs w:val="22"/>
        </w:rPr>
      </w:pPr>
      <w:r w:rsidRPr="006E3709">
        <w:rPr>
          <w:rFonts w:ascii="Arial" w:hAnsi="Arial" w:cs="Arial"/>
          <w:sz w:val="22"/>
          <w:szCs w:val="22"/>
        </w:rPr>
        <w:t>Para el llenado de</w:t>
      </w:r>
      <w:r w:rsidR="00D37FC0" w:rsidRPr="006E3709">
        <w:rPr>
          <w:rFonts w:ascii="Arial" w:hAnsi="Arial" w:cs="Arial"/>
          <w:sz w:val="22"/>
          <w:szCs w:val="22"/>
        </w:rPr>
        <w:t>l BI</w:t>
      </w:r>
      <w:r w:rsidRPr="006E3709">
        <w:rPr>
          <w:rFonts w:ascii="Arial" w:hAnsi="Arial" w:cs="Arial"/>
          <w:sz w:val="22"/>
          <w:szCs w:val="22"/>
        </w:rPr>
        <w:t xml:space="preserve">, el </w:t>
      </w:r>
      <w:proofErr w:type="spellStart"/>
      <w:r w:rsidRPr="006E3709">
        <w:rPr>
          <w:rFonts w:ascii="Arial" w:hAnsi="Arial" w:cs="Arial"/>
          <w:sz w:val="22"/>
          <w:szCs w:val="22"/>
        </w:rPr>
        <w:t>TDLSyCV</w:t>
      </w:r>
      <w:proofErr w:type="spellEnd"/>
      <w:r w:rsidRPr="006E3709">
        <w:rPr>
          <w:rFonts w:ascii="Arial" w:hAnsi="Arial" w:cs="Arial"/>
          <w:sz w:val="22"/>
          <w:szCs w:val="22"/>
        </w:rPr>
        <w:t xml:space="preserve"> deberá tener en cuenta:</w:t>
      </w:r>
    </w:p>
    <w:p w:rsidR="008F45E4" w:rsidRPr="006E3709" w:rsidRDefault="008F45E4" w:rsidP="00D37FC0">
      <w:pPr>
        <w:tabs>
          <w:tab w:val="left" w:pos="1641"/>
        </w:tabs>
        <w:jc w:val="both"/>
        <w:rPr>
          <w:rFonts w:ascii="Arial" w:hAnsi="Arial" w:cs="Arial"/>
          <w:sz w:val="22"/>
          <w:szCs w:val="22"/>
        </w:rPr>
      </w:pPr>
    </w:p>
    <w:p w:rsidR="008F45E4" w:rsidRPr="006E3709" w:rsidRDefault="008F45E4" w:rsidP="009D1D2D">
      <w:pPr>
        <w:pStyle w:val="Prrafodelista"/>
        <w:numPr>
          <w:ilvl w:val="0"/>
          <w:numId w:val="36"/>
        </w:numPr>
        <w:tabs>
          <w:tab w:val="left" w:pos="1641"/>
        </w:tabs>
        <w:suppressAutoHyphens w:val="0"/>
        <w:spacing w:after="160" w:line="256" w:lineRule="auto"/>
        <w:ind w:left="284" w:hanging="284"/>
        <w:contextualSpacing/>
        <w:jc w:val="both"/>
        <w:rPr>
          <w:rFonts w:ascii="Arial" w:hAnsi="Arial" w:cs="Arial"/>
          <w:sz w:val="22"/>
          <w:szCs w:val="22"/>
        </w:rPr>
      </w:pPr>
      <w:r w:rsidRPr="006E3709">
        <w:rPr>
          <w:rFonts w:ascii="Arial" w:hAnsi="Arial" w:cs="Arial"/>
          <w:sz w:val="22"/>
          <w:szCs w:val="22"/>
        </w:rPr>
        <w:t>Los datos deberán ser registrados con letra legible y con tinta indeleble, evitando borrones.</w:t>
      </w:r>
    </w:p>
    <w:p w:rsidR="008F45E4" w:rsidRPr="006E3709" w:rsidRDefault="008F45E4" w:rsidP="009D1D2D">
      <w:pPr>
        <w:pStyle w:val="Prrafodelista"/>
        <w:numPr>
          <w:ilvl w:val="0"/>
          <w:numId w:val="36"/>
        </w:numPr>
        <w:tabs>
          <w:tab w:val="left" w:pos="1641"/>
        </w:tabs>
        <w:suppressAutoHyphens w:val="0"/>
        <w:spacing w:after="160" w:line="256" w:lineRule="auto"/>
        <w:ind w:left="284" w:hanging="284"/>
        <w:contextualSpacing/>
        <w:jc w:val="both"/>
        <w:rPr>
          <w:rFonts w:ascii="Arial" w:hAnsi="Arial" w:cs="Arial"/>
          <w:sz w:val="22"/>
          <w:szCs w:val="22"/>
        </w:rPr>
      </w:pPr>
      <w:r w:rsidRPr="006E3709">
        <w:rPr>
          <w:rFonts w:ascii="Arial" w:hAnsi="Arial" w:cs="Arial"/>
          <w:sz w:val="22"/>
          <w:szCs w:val="22"/>
        </w:rPr>
        <w:t>En el caso de errores, se debe tachar cada error sin borrarlo, ni hacerlo ilegible y el dato correcto se coloca al lado, si el espacio lo permite o se aclara en otro lugar. Todas las alteraciones de los registros deben llevar la firmar del responsable de la corrección.</w:t>
      </w:r>
    </w:p>
    <w:p w:rsidR="008F45E4" w:rsidRPr="006E3709" w:rsidRDefault="008F45E4" w:rsidP="009D1D2D">
      <w:pPr>
        <w:pStyle w:val="Prrafodelista"/>
        <w:numPr>
          <w:ilvl w:val="0"/>
          <w:numId w:val="36"/>
        </w:numPr>
        <w:tabs>
          <w:tab w:val="left" w:pos="1641"/>
        </w:tabs>
        <w:suppressAutoHyphens w:val="0"/>
        <w:spacing w:after="160" w:line="256" w:lineRule="auto"/>
        <w:ind w:left="284" w:hanging="284"/>
        <w:contextualSpacing/>
        <w:jc w:val="both"/>
        <w:rPr>
          <w:rFonts w:ascii="Arial" w:hAnsi="Arial" w:cs="Arial"/>
          <w:sz w:val="22"/>
          <w:szCs w:val="22"/>
        </w:rPr>
      </w:pPr>
      <w:r w:rsidRPr="006E3709">
        <w:rPr>
          <w:rFonts w:ascii="Arial" w:hAnsi="Arial" w:cs="Arial"/>
          <w:sz w:val="22"/>
          <w:szCs w:val="22"/>
        </w:rPr>
        <w:t>Ningún campo debe quedar en blanco, los campos que no contienen datos deben ser cerrados con una línea.</w:t>
      </w:r>
    </w:p>
    <w:p w:rsidR="008F45E4" w:rsidRPr="006E3709" w:rsidRDefault="008F45E4" w:rsidP="008F45E4">
      <w:pPr>
        <w:pStyle w:val="Prrafodelista"/>
        <w:tabs>
          <w:tab w:val="left" w:pos="1641"/>
        </w:tabs>
        <w:suppressAutoHyphens w:val="0"/>
        <w:spacing w:after="160" w:line="259" w:lineRule="auto"/>
        <w:ind w:left="426"/>
        <w:contextualSpacing/>
        <w:rPr>
          <w:rFonts w:ascii="Arial" w:hAnsi="Arial" w:cs="Arial"/>
          <w:b/>
          <w:sz w:val="22"/>
          <w:szCs w:val="22"/>
        </w:rPr>
      </w:pPr>
    </w:p>
    <w:p w:rsidR="008F45E4" w:rsidRPr="006E3709" w:rsidRDefault="008F45E4" w:rsidP="009D1D2D">
      <w:pPr>
        <w:pStyle w:val="Prrafodelista"/>
        <w:numPr>
          <w:ilvl w:val="1"/>
          <w:numId w:val="35"/>
        </w:numPr>
        <w:tabs>
          <w:tab w:val="left" w:pos="1641"/>
        </w:tabs>
        <w:suppressAutoHyphens w:val="0"/>
        <w:spacing w:after="160" w:line="259" w:lineRule="auto"/>
        <w:ind w:left="0" w:hanging="426"/>
        <w:contextualSpacing/>
        <w:rPr>
          <w:rFonts w:ascii="Arial" w:hAnsi="Arial" w:cs="Arial"/>
          <w:b/>
          <w:sz w:val="22"/>
          <w:szCs w:val="22"/>
        </w:rPr>
      </w:pPr>
      <w:r w:rsidRPr="006E3709">
        <w:rPr>
          <w:rFonts w:ascii="Arial" w:hAnsi="Arial" w:cs="Arial"/>
          <w:b/>
          <w:sz w:val="22"/>
          <w:szCs w:val="22"/>
        </w:rPr>
        <w:t>Preparación de solución de tetrazolio</w:t>
      </w:r>
    </w:p>
    <w:p w:rsidR="00046CFC" w:rsidRPr="006E3709" w:rsidRDefault="00911F64" w:rsidP="00911F64">
      <w:pPr>
        <w:ind w:left="-426"/>
        <w:jc w:val="both"/>
        <w:rPr>
          <w:rFonts w:ascii="Arial" w:hAnsi="Arial" w:cs="Arial"/>
          <w:color w:val="000000"/>
          <w:sz w:val="22"/>
          <w:szCs w:val="22"/>
        </w:rPr>
      </w:pPr>
      <w:r w:rsidRPr="006E3709">
        <w:rPr>
          <w:rFonts w:ascii="Arial" w:hAnsi="Arial" w:cs="Arial"/>
          <w:color w:val="000000"/>
          <w:sz w:val="22"/>
          <w:szCs w:val="22"/>
        </w:rPr>
        <w:t>Para preparar la solución de reserva</w:t>
      </w:r>
      <w:r w:rsidR="00046CFC" w:rsidRPr="006E3709">
        <w:rPr>
          <w:rFonts w:ascii="Arial" w:hAnsi="Arial" w:cs="Arial"/>
          <w:color w:val="000000"/>
          <w:sz w:val="22"/>
          <w:szCs w:val="22"/>
        </w:rPr>
        <w:t xml:space="preserve"> o madre</w:t>
      </w:r>
      <w:r w:rsidRPr="006E3709">
        <w:rPr>
          <w:rFonts w:ascii="Arial" w:hAnsi="Arial" w:cs="Arial"/>
          <w:color w:val="000000"/>
          <w:sz w:val="22"/>
          <w:szCs w:val="22"/>
        </w:rPr>
        <w:t xml:space="preserve"> </w:t>
      </w:r>
      <w:r w:rsidR="008F45E4" w:rsidRPr="006E3709">
        <w:rPr>
          <w:rFonts w:ascii="Arial" w:hAnsi="Arial" w:cs="Arial"/>
          <w:color w:val="000000"/>
          <w:sz w:val="22"/>
          <w:szCs w:val="22"/>
        </w:rPr>
        <w:t>al 1,0 %;</w:t>
      </w:r>
      <w:r w:rsidRPr="006E3709">
        <w:rPr>
          <w:rFonts w:ascii="Arial" w:hAnsi="Arial" w:cs="Arial"/>
          <w:color w:val="000000"/>
          <w:sz w:val="22"/>
          <w:szCs w:val="22"/>
        </w:rPr>
        <w:t xml:space="preserve"> se debe proceder a mezclar</w:t>
      </w:r>
      <w:r w:rsidR="008F45E4" w:rsidRPr="006E3709">
        <w:rPr>
          <w:rFonts w:ascii="Arial" w:hAnsi="Arial" w:cs="Arial"/>
          <w:color w:val="000000"/>
          <w:sz w:val="22"/>
          <w:szCs w:val="22"/>
        </w:rPr>
        <w:t xml:space="preserve"> 10,0 gramos de la sal de tetrazolio en 1,0 litro de agua destilada.</w:t>
      </w:r>
      <w:r w:rsidRPr="006E3709">
        <w:rPr>
          <w:rFonts w:ascii="Arial" w:hAnsi="Arial" w:cs="Arial"/>
          <w:color w:val="000000"/>
          <w:sz w:val="22"/>
          <w:szCs w:val="22"/>
        </w:rPr>
        <w:t xml:space="preserve"> </w:t>
      </w:r>
    </w:p>
    <w:p w:rsidR="00046CFC" w:rsidRPr="006E3709" w:rsidRDefault="00046CFC" w:rsidP="00911F64">
      <w:pPr>
        <w:ind w:left="-426"/>
        <w:jc w:val="both"/>
        <w:rPr>
          <w:rFonts w:ascii="Arial" w:hAnsi="Arial" w:cs="Arial"/>
          <w:color w:val="000000"/>
          <w:sz w:val="22"/>
          <w:szCs w:val="22"/>
        </w:rPr>
      </w:pPr>
    </w:p>
    <w:p w:rsidR="00911F64" w:rsidRPr="006E3709" w:rsidRDefault="00911F64" w:rsidP="00911F64">
      <w:pPr>
        <w:ind w:left="-426"/>
        <w:jc w:val="both"/>
        <w:rPr>
          <w:rFonts w:ascii="Arial" w:hAnsi="Arial" w:cs="Arial"/>
          <w:color w:val="000000"/>
          <w:sz w:val="22"/>
          <w:szCs w:val="22"/>
        </w:rPr>
      </w:pPr>
      <w:r w:rsidRPr="006E3709">
        <w:rPr>
          <w:rFonts w:ascii="Arial" w:hAnsi="Arial" w:cs="Arial"/>
          <w:color w:val="000000"/>
          <w:sz w:val="22"/>
          <w:szCs w:val="22"/>
        </w:rPr>
        <w:t>La solución de tetrazolio deberá tener un pH entre 6,5 a 7,5 de no ser así debe ser necesaria la pre</w:t>
      </w:r>
      <w:r w:rsidR="00046CFC" w:rsidRPr="006E3709">
        <w:rPr>
          <w:rFonts w:ascii="Arial" w:hAnsi="Arial" w:cs="Arial"/>
          <w:color w:val="000000"/>
          <w:sz w:val="22"/>
          <w:szCs w:val="22"/>
        </w:rPr>
        <w:t>paración de una solución buffer (ver 5.3)</w:t>
      </w:r>
    </w:p>
    <w:p w:rsidR="00324D71" w:rsidRPr="006E3709" w:rsidRDefault="00324D71" w:rsidP="00911F64">
      <w:pPr>
        <w:jc w:val="both"/>
        <w:rPr>
          <w:rFonts w:ascii="Arial" w:hAnsi="Arial" w:cs="Arial"/>
          <w:color w:val="000000"/>
          <w:sz w:val="22"/>
          <w:szCs w:val="22"/>
        </w:rPr>
      </w:pPr>
    </w:p>
    <w:p w:rsidR="00911F64" w:rsidRPr="006E3709" w:rsidRDefault="00324D71" w:rsidP="00911F64">
      <w:pPr>
        <w:ind w:left="-426"/>
        <w:jc w:val="both"/>
        <w:rPr>
          <w:rFonts w:ascii="Arial" w:hAnsi="Arial" w:cs="Arial"/>
          <w:color w:val="000000"/>
          <w:sz w:val="22"/>
          <w:szCs w:val="22"/>
        </w:rPr>
      </w:pPr>
      <w:r w:rsidRPr="006E3709">
        <w:rPr>
          <w:rFonts w:ascii="Arial" w:hAnsi="Arial" w:cs="Arial"/>
          <w:b/>
          <w:color w:val="000000"/>
          <w:sz w:val="22"/>
          <w:szCs w:val="22"/>
        </w:rPr>
        <w:t>Nota 1</w:t>
      </w:r>
      <w:r w:rsidR="009773E9" w:rsidRPr="006E3709">
        <w:rPr>
          <w:rFonts w:ascii="Arial" w:hAnsi="Arial" w:cs="Arial"/>
          <w:b/>
          <w:color w:val="000000"/>
          <w:sz w:val="22"/>
          <w:szCs w:val="22"/>
        </w:rPr>
        <w:t>:</w:t>
      </w:r>
      <w:r w:rsidRPr="006E3709">
        <w:rPr>
          <w:rFonts w:ascii="Arial" w:hAnsi="Arial" w:cs="Arial"/>
          <w:color w:val="000000"/>
          <w:sz w:val="22"/>
          <w:szCs w:val="22"/>
        </w:rPr>
        <w:t xml:space="preserve"> </w:t>
      </w:r>
      <w:r w:rsidR="00911F64" w:rsidRPr="006E3709">
        <w:rPr>
          <w:rFonts w:ascii="Arial" w:hAnsi="Arial" w:cs="Arial"/>
          <w:color w:val="000000"/>
          <w:sz w:val="22"/>
          <w:szCs w:val="22"/>
        </w:rPr>
        <w:t>A fin de asegurar que el pH de la solución de tetrazolio se encuentre en rango (6,5 a 7,5) se puede medir previamente el pH del agua destilada a ser utilizada.</w:t>
      </w:r>
    </w:p>
    <w:p w:rsidR="00911F64" w:rsidRPr="006E3709" w:rsidRDefault="00911F64" w:rsidP="00911F64">
      <w:pPr>
        <w:ind w:left="-426"/>
        <w:jc w:val="both"/>
        <w:rPr>
          <w:rFonts w:ascii="Arial" w:hAnsi="Arial" w:cs="Arial"/>
          <w:color w:val="000000"/>
          <w:sz w:val="22"/>
          <w:szCs w:val="22"/>
        </w:rPr>
      </w:pPr>
    </w:p>
    <w:p w:rsidR="0081757C" w:rsidRPr="006E3709" w:rsidRDefault="00911F64" w:rsidP="0081757C">
      <w:pPr>
        <w:ind w:left="-426"/>
        <w:jc w:val="both"/>
        <w:rPr>
          <w:rFonts w:ascii="Arial" w:hAnsi="Arial" w:cs="Arial"/>
          <w:color w:val="000000"/>
          <w:sz w:val="22"/>
          <w:szCs w:val="22"/>
        </w:rPr>
      </w:pPr>
      <w:r w:rsidRPr="006E3709">
        <w:rPr>
          <w:rFonts w:ascii="Arial" w:hAnsi="Arial" w:cs="Arial"/>
          <w:b/>
          <w:color w:val="000000"/>
          <w:sz w:val="22"/>
          <w:szCs w:val="22"/>
        </w:rPr>
        <w:t>Nota 2:</w:t>
      </w:r>
      <w:r w:rsidRPr="006E3709">
        <w:rPr>
          <w:rFonts w:ascii="Arial" w:hAnsi="Arial" w:cs="Arial"/>
          <w:color w:val="000000"/>
          <w:sz w:val="22"/>
          <w:szCs w:val="22"/>
        </w:rPr>
        <w:t xml:space="preserve"> </w:t>
      </w:r>
      <w:r w:rsidR="0081757C" w:rsidRPr="006E3709">
        <w:rPr>
          <w:rFonts w:ascii="Arial" w:hAnsi="Arial" w:cs="Arial"/>
          <w:color w:val="000000"/>
          <w:sz w:val="22"/>
          <w:szCs w:val="22"/>
        </w:rPr>
        <w:t>Esta solución debe ser almacenada en un frasco de vidrio de color ámbar, en lugar oscuro y fresco en heladera entre 5 y 10°C y puede ser almacenada hasta por un año. El frasco a ser utilizado debe estar identificado, utilizando el FOR-DLSyCV-033 Etiqueta de Identificación de Solución de Trabajo.</w:t>
      </w:r>
    </w:p>
    <w:p w:rsidR="00911F64" w:rsidRPr="006E3709" w:rsidRDefault="00911F64" w:rsidP="0081757C">
      <w:pPr>
        <w:jc w:val="both"/>
        <w:rPr>
          <w:rFonts w:ascii="Arial" w:hAnsi="Arial" w:cs="Arial"/>
          <w:b/>
          <w:color w:val="000000"/>
          <w:sz w:val="22"/>
          <w:szCs w:val="22"/>
        </w:rPr>
      </w:pPr>
    </w:p>
    <w:p w:rsidR="0035566F" w:rsidRPr="006E3709" w:rsidRDefault="009773E9" w:rsidP="0035566F">
      <w:pPr>
        <w:ind w:left="-426"/>
        <w:jc w:val="both"/>
        <w:rPr>
          <w:rFonts w:ascii="Arial" w:hAnsi="Arial" w:cs="Arial"/>
          <w:color w:val="000000"/>
          <w:sz w:val="22"/>
          <w:szCs w:val="22"/>
        </w:rPr>
      </w:pPr>
      <w:r w:rsidRPr="006E3709">
        <w:rPr>
          <w:rFonts w:ascii="Arial" w:hAnsi="Arial" w:cs="Arial"/>
          <w:b/>
          <w:color w:val="000000"/>
          <w:sz w:val="22"/>
          <w:szCs w:val="22"/>
        </w:rPr>
        <w:t>N</w:t>
      </w:r>
      <w:r w:rsidR="00911F64" w:rsidRPr="006E3709">
        <w:rPr>
          <w:rFonts w:ascii="Arial" w:hAnsi="Arial" w:cs="Arial"/>
          <w:b/>
          <w:color w:val="000000"/>
          <w:sz w:val="22"/>
          <w:szCs w:val="22"/>
        </w:rPr>
        <w:t>ota 3</w:t>
      </w:r>
      <w:r w:rsidRPr="006E3709">
        <w:rPr>
          <w:rFonts w:ascii="Arial" w:hAnsi="Arial" w:cs="Arial"/>
          <w:b/>
          <w:color w:val="000000"/>
          <w:sz w:val="22"/>
          <w:szCs w:val="22"/>
        </w:rPr>
        <w:t>:</w:t>
      </w:r>
      <w:r w:rsidR="00911F64" w:rsidRPr="006E3709">
        <w:rPr>
          <w:rFonts w:ascii="Arial" w:hAnsi="Arial" w:cs="Arial"/>
          <w:b/>
          <w:color w:val="000000"/>
          <w:sz w:val="22"/>
          <w:szCs w:val="22"/>
        </w:rPr>
        <w:t xml:space="preserve"> </w:t>
      </w:r>
      <w:r w:rsidR="00911F64" w:rsidRPr="006E3709">
        <w:rPr>
          <w:rFonts w:ascii="Arial" w:hAnsi="Arial" w:cs="Arial"/>
          <w:color w:val="000000"/>
          <w:sz w:val="22"/>
          <w:szCs w:val="22"/>
        </w:rPr>
        <w:t>Se podrá trabajar con una solución de tet</w:t>
      </w:r>
      <w:r w:rsidR="008933BB" w:rsidRPr="006E3709">
        <w:rPr>
          <w:rFonts w:ascii="Arial" w:hAnsi="Arial" w:cs="Arial"/>
          <w:color w:val="000000"/>
          <w:sz w:val="22"/>
          <w:szCs w:val="22"/>
        </w:rPr>
        <w:t>r</w:t>
      </w:r>
      <w:r w:rsidR="00911F64" w:rsidRPr="006E3709">
        <w:rPr>
          <w:rFonts w:ascii="Arial" w:hAnsi="Arial" w:cs="Arial"/>
          <w:color w:val="000000"/>
          <w:sz w:val="22"/>
          <w:szCs w:val="22"/>
        </w:rPr>
        <w:t>azolio</w:t>
      </w:r>
      <w:r w:rsidR="00046CFC" w:rsidRPr="006E3709">
        <w:rPr>
          <w:rFonts w:ascii="Arial" w:hAnsi="Arial" w:cs="Arial"/>
          <w:color w:val="000000"/>
          <w:sz w:val="22"/>
          <w:szCs w:val="22"/>
        </w:rPr>
        <w:t xml:space="preserve"> en una concentración menor al 1%. Para el caso de solución al 0,5% se debe medir 500 ml de solución de reserva</w:t>
      </w:r>
      <w:r w:rsidR="008933BB" w:rsidRPr="006E3709">
        <w:rPr>
          <w:rFonts w:ascii="Arial" w:hAnsi="Arial" w:cs="Arial"/>
          <w:color w:val="000000"/>
          <w:sz w:val="22"/>
          <w:szCs w:val="22"/>
        </w:rPr>
        <w:t xml:space="preserve"> o madre</w:t>
      </w:r>
      <w:r w:rsidR="00046CFC" w:rsidRPr="006E3709">
        <w:rPr>
          <w:rFonts w:ascii="Arial" w:hAnsi="Arial" w:cs="Arial"/>
          <w:color w:val="000000"/>
          <w:sz w:val="22"/>
          <w:szCs w:val="22"/>
        </w:rPr>
        <w:t xml:space="preserve"> de la solución de tetrazolio al 1,0% y completar con 500 ml de agua para obtener 1 litro de esta solución.</w:t>
      </w:r>
    </w:p>
    <w:p w:rsidR="00D82B1A" w:rsidRPr="006E3709" w:rsidRDefault="00D82B1A" w:rsidP="0081757C">
      <w:pPr>
        <w:tabs>
          <w:tab w:val="left" w:pos="1641"/>
        </w:tabs>
        <w:suppressAutoHyphens w:val="0"/>
        <w:spacing w:line="259" w:lineRule="auto"/>
        <w:contextualSpacing/>
        <w:rPr>
          <w:rFonts w:ascii="Arial" w:hAnsi="Arial" w:cs="Arial"/>
          <w:b/>
          <w:sz w:val="22"/>
          <w:szCs w:val="22"/>
        </w:rPr>
      </w:pPr>
    </w:p>
    <w:p w:rsidR="008F45E4" w:rsidRPr="006E3709" w:rsidRDefault="004F738D" w:rsidP="009D1D2D">
      <w:pPr>
        <w:pStyle w:val="Prrafodelista"/>
        <w:numPr>
          <w:ilvl w:val="1"/>
          <w:numId w:val="35"/>
        </w:numPr>
        <w:tabs>
          <w:tab w:val="left" w:pos="1641"/>
        </w:tabs>
        <w:suppressAutoHyphens w:val="0"/>
        <w:spacing w:after="160" w:line="259" w:lineRule="auto"/>
        <w:ind w:left="0" w:hanging="426"/>
        <w:contextualSpacing/>
        <w:rPr>
          <w:rFonts w:ascii="Arial" w:hAnsi="Arial" w:cs="Arial"/>
          <w:b/>
          <w:sz w:val="22"/>
          <w:szCs w:val="22"/>
        </w:rPr>
      </w:pPr>
      <w:r w:rsidRPr="006E3709">
        <w:rPr>
          <w:rFonts w:ascii="Arial" w:hAnsi="Arial" w:cs="Arial"/>
          <w:b/>
          <w:sz w:val="22"/>
          <w:szCs w:val="22"/>
        </w:rPr>
        <w:t>Preparación d</w:t>
      </w:r>
      <w:r w:rsidR="008F45E4" w:rsidRPr="006E3709">
        <w:rPr>
          <w:rFonts w:ascii="Arial" w:hAnsi="Arial" w:cs="Arial"/>
          <w:b/>
          <w:sz w:val="22"/>
          <w:szCs w:val="22"/>
        </w:rPr>
        <w:t>e solución Buffer</w:t>
      </w:r>
      <w:r w:rsidR="00774D0F" w:rsidRPr="006E3709">
        <w:rPr>
          <w:rFonts w:ascii="Arial" w:hAnsi="Arial" w:cs="Arial"/>
          <w:b/>
          <w:sz w:val="22"/>
          <w:szCs w:val="22"/>
        </w:rPr>
        <w:t xml:space="preserve"> o Tampón</w:t>
      </w:r>
    </w:p>
    <w:p w:rsidR="00774D0F" w:rsidRPr="006E3709" w:rsidRDefault="00774D0F" w:rsidP="00181568">
      <w:pPr>
        <w:ind w:left="-426"/>
        <w:jc w:val="both"/>
        <w:rPr>
          <w:rFonts w:ascii="Arial" w:hAnsi="Arial" w:cs="Arial"/>
          <w:color w:val="000000"/>
          <w:sz w:val="22"/>
          <w:szCs w:val="22"/>
        </w:rPr>
      </w:pPr>
      <w:r w:rsidRPr="006E3709">
        <w:rPr>
          <w:rFonts w:ascii="Arial" w:hAnsi="Arial" w:cs="Arial"/>
          <w:color w:val="000000"/>
          <w:sz w:val="22"/>
          <w:szCs w:val="22"/>
        </w:rPr>
        <w:t xml:space="preserve">Para obtener el rango correcto de </w:t>
      </w:r>
      <w:r w:rsidR="00324D71" w:rsidRPr="006E3709">
        <w:rPr>
          <w:rFonts w:ascii="Arial" w:hAnsi="Arial" w:cs="Arial"/>
          <w:color w:val="000000"/>
          <w:sz w:val="22"/>
          <w:szCs w:val="22"/>
        </w:rPr>
        <w:t>pH</w:t>
      </w:r>
      <w:r w:rsidRPr="006E3709">
        <w:rPr>
          <w:rFonts w:ascii="Arial" w:hAnsi="Arial" w:cs="Arial"/>
          <w:color w:val="000000"/>
          <w:sz w:val="22"/>
          <w:szCs w:val="22"/>
        </w:rPr>
        <w:t>, deberá proceder a preparar la solución buffer, preparando:</w:t>
      </w:r>
    </w:p>
    <w:p w:rsidR="00774D0F" w:rsidRPr="006E3709" w:rsidRDefault="00324D71" w:rsidP="00774D0F">
      <w:pPr>
        <w:pStyle w:val="Prrafodelista"/>
        <w:numPr>
          <w:ilvl w:val="0"/>
          <w:numId w:val="43"/>
        </w:numPr>
        <w:jc w:val="both"/>
        <w:rPr>
          <w:rFonts w:ascii="Arial" w:hAnsi="Arial" w:cs="Arial"/>
          <w:color w:val="000000"/>
          <w:sz w:val="22"/>
          <w:szCs w:val="22"/>
        </w:rPr>
      </w:pPr>
      <w:r w:rsidRPr="006E3709">
        <w:rPr>
          <w:rFonts w:ascii="Arial" w:hAnsi="Arial" w:cs="Arial"/>
          <w:color w:val="000000"/>
          <w:sz w:val="22"/>
          <w:szCs w:val="22"/>
        </w:rPr>
        <w:t>Solución 1</w:t>
      </w:r>
      <w:r w:rsidR="008F45E4" w:rsidRPr="006E3709">
        <w:rPr>
          <w:rFonts w:ascii="Arial" w:hAnsi="Arial" w:cs="Arial"/>
          <w:color w:val="000000"/>
          <w:sz w:val="22"/>
          <w:szCs w:val="22"/>
        </w:rPr>
        <w:t xml:space="preserve">: disolver </w:t>
      </w:r>
      <w:r w:rsidR="00774D0F" w:rsidRPr="006E3709">
        <w:rPr>
          <w:rFonts w:ascii="Arial" w:hAnsi="Arial" w:cs="Arial"/>
          <w:color w:val="000000"/>
          <w:sz w:val="22"/>
          <w:szCs w:val="22"/>
        </w:rPr>
        <w:t xml:space="preserve">9,078 g de </w:t>
      </w:r>
      <w:r w:rsidR="008F45E4" w:rsidRPr="006E3709">
        <w:rPr>
          <w:rFonts w:ascii="Arial" w:hAnsi="Arial" w:cs="Arial"/>
          <w:color w:val="000000"/>
          <w:sz w:val="22"/>
          <w:szCs w:val="22"/>
        </w:rPr>
        <w:t>KH</w:t>
      </w:r>
      <w:r w:rsidRPr="006E3709">
        <w:rPr>
          <w:rFonts w:ascii="Arial" w:hAnsi="Arial" w:cs="Arial"/>
          <w:color w:val="000000"/>
          <w:sz w:val="22"/>
          <w:szCs w:val="22"/>
          <w:vertAlign w:val="subscript"/>
        </w:rPr>
        <w:t>2</w:t>
      </w:r>
      <w:r w:rsidR="008F45E4" w:rsidRPr="006E3709">
        <w:rPr>
          <w:rFonts w:ascii="Arial" w:hAnsi="Arial" w:cs="Arial"/>
          <w:color w:val="000000"/>
          <w:sz w:val="22"/>
          <w:szCs w:val="22"/>
        </w:rPr>
        <w:t>PO</w:t>
      </w:r>
      <w:r w:rsidR="008F45E4" w:rsidRPr="006E3709">
        <w:rPr>
          <w:rFonts w:ascii="Arial" w:hAnsi="Arial" w:cs="Arial"/>
          <w:color w:val="000000"/>
          <w:sz w:val="22"/>
          <w:szCs w:val="22"/>
          <w:vertAlign w:val="subscript"/>
        </w:rPr>
        <w:t>4</w:t>
      </w:r>
      <w:r w:rsidR="008F45E4" w:rsidRPr="006E3709">
        <w:rPr>
          <w:rFonts w:ascii="Arial" w:hAnsi="Arial" w:cs="Arial"/>
          <w:color w:val="000000"/>
          <w:sz w:val="22"/>
          <w:szCs w:val="22"/>
        </w:rPr>
        <w:t xml:space="preserve"> en </w:t>
      </w:r>
      <w:r w:rsidR="00774D0F" w:rsidRPr="006E3709">
        <w:rPr>
          <w:rFonts w:ascii="Arial" w:hAnsi="Arial" w:cs="Arial"/>
          <w:color w:val="000000"/>
          <w:sz w:val="22"/>
          <w:szCs w:val="22"/>
        </w:rPr>
        <w:t>1.000 ml de agua destilada.</w:t>
      </w:r>
    </w:p>
    <w:p w:rsidR="008F45E4" w:rsidRPr="006E3709" w:rsidRDefault="00324D71" w:rsidP="00774D0F">
      <w:pPr>
        <w:pStyle w:val="Prrafodelista"/>
        <w:numPr>
          <w:ilvl w:val="0"/>
          <w:numId w:val="43"/>
        </w:numPr>
        <w:jc w:val="both"/>
        <w:rPr>
          <w:rFonts w:ascii="Arial" w:hAnsi="Arial" w:cs="Arial"/>
          <w:color w:val="000000"/>
          <w:sz w:val="22"/>
          <w:szCs w:val="22"/>
        </w:rPr>
      </w:pPr>
      <w:r w:rsidRPr="006E3709">
        <w:rPr>
          <w:rFonts w:ascii="Arial" w:hAnsi="Arial" w:cs="Arial"/>
          <w:color w:val="000000"/>
          <w:sz w:val="22"/>
          <w:szCs w:val="22"/>
        </w:rPr>
        <w:t>Solución 2</w:t>
      </w:r>
      <w:r w:rsidR="009D1D2D" w:rsidRPr="006E3709">
        <w:rPr>
          <w:rFonts w:ascii="Arial" w:hAnsi="Arial" w:cs="Arial"/>
          <w:color w:val="000000"/>
          <w:sz w:val="22"/>
          <w:szCs w:val="22"/>
        </w:rPr>
        <w:t>: disolver</w:t>
      </w:r>
      <w:r w:rsidR="008F45E4" w:rsidRPr="006E3709">
        <w:rPr>
          <w:rFonts w:ascii="Arial" w:hAnsi="Arial" w:cs="Arial"/>
          <w:color w:val="000000"/>
          <w:sz w:val="22"/>
          <w:szCs w:val="22"/>
        </w:rPr>
        <w:t xml:space="preserve"> 9.472 g de Na</w:t>
      </w:r>
      <w:r w:rsidR="008F45E4" w:rsidRPr="006E3709">
        <w:rPr>
          <w:rFonts w:ascii="Arial" w:hAnsi="Arial" w:cs="Arial"/>
          <w:color w:val="000000"/>
          <w:sz w:val="22"/>
          <w:szCs w:val="22"/>
          <w:vertAlign w:val="subscript"/>
        </w:rPr>
        <w:t>2</w:t>
      </w:r>
      <w:r w:rsidR="008F45E4" w:rsidRPr="006E3709">
        <w:rPr>
          <w:rFonts w:ascii="Arial" w:hAnsi="Arial" w:cs="Arial"/>
          <w:color w:val="000000"/>
          <w:sz w:val="22"/>
          <w:szCs w:val="22"/>
        </w:rPr>
        <w:t>HPO</w:t>
      </w:r>
      <w:r w:rsidR="00774D0F" w:rsidRPr="006E3709">
        <w:rPr>
          <w:rFonts w:ascii="Arial" w:hAnsi="Arial" w:cs="Arial"/>
          <w:color w:val="000000"/>
          <w:sz w:val="22"/>
          <w:szCs w:val="22"/>
          <w:vertAlign w:val="subscript"/>
        </w:rPr>
        <w:t>4</w:t>
      </w:r>
      <w:r w:rsidR="008F45E4" w:rsidRPr="006E3709">
        <w:rPr>
          <w:rFonts w:ascii="Arial" w:hAnsi="Arial" w:cs="Arial"/>
          <w:color w:val="000000"/>
          <w:sz w:val="22"/>
          <w:szCs w:val="22"/>
        </w:rPr>
        <w:t xml:space="preserve"> en 1.000 ml de agua </w:t>
      </w:r>
      <w:r w:rsidR="00774D0F" w:rsidRPr="006E3709">
        <w:rPr>
          <w:rFonts w:ascii="Arial" w:hAnsi="Arial" w:cs="Arial"/>
          <w:color w:val="000000"/>
          <w:sz w:val="22"/>
          <w:szCs w:val="22"/>
        </w:rPr>
        <w:t xml:space="preserve">destilada </w:t>
      </w:r>
      <w:r w:rsidR="008F45E4" w:rsidRPr="006E3709">
        <w:rPr>
          <w:rFonts w:ascii="Arial" w:hAnsi="Arial" w:cs="Arial"/>
          <w:color w:val="000000"/>
          <w:sz w:val="22"/>
          <w:szCs w:val="22"/>
        </w:rPr>
        <w:t>o</w:t>
      </w:r>
      <w:r w:rsidR="00774D0F" w:rsidRPr="006E3709">
        <w:rPr>
          <w:rFonts w:ascii="Arial" w:hAnsi="Arial" w:cs="Arial"/>
          <w:color w:val="000000"/>
          <w:sz w:val="22"/>
          <w:szCs w:val="22"/>
        </w:rPr>
        <w:t xml:space="preserve"> disolver</w:t>
      </w:r>
      <w:r w:rsidR="008F45E4" w:rsidRPr="006E3709">
        <w:rPr>
          <w:rFonts w:ascii="Arial" w:hAnsi="Arial" w:cs="Arial"/>
          <w:color w:val="000000"/>
          <w:sz w:val="22"/>
          <w:szCs w:val="22"/>
        </w:rPr>
        <w:t xml:space="preserve"> 11,876</w:t>
      </w:r>
      <w:r w:rsidR="008F45E4" w:rsidRPr="006E3709">
        <w:rPr>
          <w:rFonts w:ascii="Arial" w:hAnsi="Arial" w:cs="Arial"/>
          <w:sz w:val="22"/>
          <w:szCs w:val="22"/>
        </w:rPr>
        <w:t xml:space="preserve"> </w:t>
      </w:r>
      <w:r w:rsidR="008F45E4" w:rsidRPr="006E3709">
        <w:rPr>
          <w:rFonts w:ascii="Arial" w:hAnsi="Arial" w:cs="Arial"/>
          <w:color w:val="000000"/>
          <w:sz w:val="22"/>
          <w:szCs w:val="22"/>
        </w:rPr>
        <w:t>g de Na</w:t>
      </w:r>
      <w:r w:rsidR="008F45E4" w:rsidRPr="006E3709">
        <w:rPr>
          <w:rFonts w:ascii="Arial" w:hAnsi="Arial" w:cs="Arial"/>
          <w:color w:val="000000"/>
          <w:sz w:val="22"/>
          <w:szCs w:val="22"/>
          <w:vertAlign w:val="subscript"/>
        </w:rPr>
        <w:t>2</w:t>
      </w:r>
      <w:r w:rsidR="008F45E4" w:rsidRPr="006E3709">
        <w:rPr>
          <w:rFonts w:ascii="Arial" w:hAnsi="Arial" w:cs="Arial"/>
          <w:color w:val="000000"/>
          <w:sz w:val="22"/>
          <w:szCs w:val="22"/>
        </w:rPr>
        <w:t>HPO</w:t>
      </w:r>
      <w:r w:rsidR="008F45E4" w:rsidRPr="006E3709">
        <w:rPr>
          <w:rFonts w:ascii="Arial" w:hAnsi="Arial" w:cs="Arial"/>
          <w:color w:val="000000"/>
          <w:sz w:val="22"/>
          <w:szCs w:val="22"/>
          <w:vertAlign w:val="subscript"/>
        </w:rPr>
        <w:t>4</w:t>
      </w:r>
      <w:r w:rsidR="00774D0F" w:rsidRPr="006E3709">
        <w:rPr>
          <w:rFonts w:ascii="Arial" w:hAnsi="Arial" w:cs="Arial"/>
          <w:color w:val="000000"/>
          <w:sz w:val="22"/>
          <w:szCs w:val="22"/>
        </w:rPr>
        <w:t xml:space="preserve"> por 2</w:t>
      </w:r>
      <w:r w:rsidR="008F45E4" w:rsidRPr="006E3709">
        <w:rPr>
          <w:rFonts w:ascii="Arial" w:hAnsi="Arial" w:cs="Arial"/>
          <w:color w:val="000000"/>
          <w:sz w:val="22"/>
          <w:szCs w:val="22"/>
        </w:rPr>
        <w:t>H</w:t>
      </w:r>
      <w:r w:rsidR="008F45E4" w:rsidRPr="006E3709">
        <w:rPr>
          <w:rFonts w:ascii="Arial" w:hAnsi="Arial" w:cs="Arial"/>
          <w:color w:val="000000"/>
          <w:sz w:val="22"/>
          <w:szCs w:val="22"/>
          <w:vertAlign w:val="subscript"/>
        </w:rPr>
        <w:t>2</w:t>
      </w:r>
      <w:r w:rsidR="00774D0F" w:rsidRPr="006E3709">
        <w:rPr>
          <w:rFonts w:ascii="Arial" w:hAnsi="Arial" w:cs="Arial"/>
          <w:color w:val="000000"/>
          <w:sz w:val="22"/>
          <w:szCs w:val="22"/>
        </w:rPr>
        <w:t>O en 1.000 ml de agua destilada.</w:t>
      </w:r>
    </w:p>
    <w:p w:rsidR="00324D71" w:rsidRPr="006E3709" w:rsidRDefault="00324D71" w:rsidP="009D1D2D">
      <w:pPr>
        <w:ind w:left="-426"/>
        <w:jc w:val="both"/>
        <w:rPr>
          <w:rFonts w:ascii="Arial" w:hAnsi="Arial" w:cs="Arial"/>
          <w:color w:val="000000"/>
          <w:sz w:val="22"/>
          <w:szCs w:val="22"/>
        </w:rPr>
      </w:pPr>
    </w:p>
    <w:p w:rsidR="008F45E4" w:rsidRPr="006E3709" w:rsidRDefault="008F45E4" w:rsidP="009D1D2D">
      <w:pPr>
        <w:ind w:left="-426"/>
        <w:jc w:val="both"/>
        <w:rPr>
          <w:rFonts w:ascii="Arial" w:hAnsi="Arial" w:cs="Arial"/>
          <w:color w:val="000000"/>
          <w:sz w:val="22"/>
          <w:szCs w:val="22"/>
        </w:rPr>
      </w:pPr>
      <w:r w:rsidRPr="006E3709">
        <w:rPr>
          <w:rFonts w:ascii="Arial" w:hAnsi="Arial" w:cs="Arial"/>
          <w:color w:val="000000"/>
          <w:sz w:val="22"/>
          <w:szCs w:val="22"/>
        </w:rPr>
        <w:t>M</w:t>
      </w:r>
      <w:r w:rsidR="00324D71" w:rsidRPr="006E3709">
        <w:rPr>
          <w:rFonts w:ascii="Arial" w:hAnsi="Arial" w:cs="Arial"/>
          <w:color w:val="000000"/>
          <w:sz w:val="22"/>
          <w:szCs w:val="22"/>
        </w:rPr>
        <w:t>ezclar dos partes de la Solución 1 con tres</w:t>
      </w:r>
      <w:r w:rsidRPr="006E3709">
        <w:rPr>
          <w:rFonts w:ascii="Arial" w:hAnsi="Arial" w:cs="Arial"/>
          <w:color w:val="000000"/>
          <w:sz w:val="22"/>
          <w:szCs w:val="22"/>
        </w:rPr>
        <w:t xml:space="preserve"> partes de </w:t>
      </w:r>
      <w:r w:rsidR="00324D71" w:rsidRPr="006E3709">
        <w:rPr>
          <w:rFonts w:ascii="Arial" w:hAnsi="Arial" w:cs="Arial"/>
          <w:color w:val="000000"/>
          <w:sz w:val="22"/>
          <w:szCs w:val="22"/>
        </w:rPr>
        <w:t>la Solución 2 y controlar el pH, el cual debe estar entre 6,5 a 7,5</w:t>
      </w:r>
      <w:r w:rsidRPr="006E3709">
        <w:rPr>
          <w:rFonts w:ascii="Arial" w:hAnsi="Arial" w:cs="Arial"/>
          <w:color w:val="000000"/>
          <w:sz w:val="22"/>
          <w:szCs w:val="22"/>
        </w:rPr>
        <w:t>.</w:t>
      </w:r>
    </w:p>
    <w:p w:rsidR="0081757C" w:rsidRPr="006E3709" w:rsidRDefault="0081757C" w:rsidP="008F45E4">
      <w:pPr>
        <w:jc w:val="both"/>
        <w:rPr>
          <w:rFonts w:ascii="Arial" w:hAnsi="Arial" w:cs="Arial"/>
          <w:color w:val="000000"/>
          <w:sz w:val="22"/>
          <w:szCs w:val="22"/>
        </w:rPr>
      </w:pPr>
    </w:p>
    <w:p w:rsidR="00E0760C" w:rsidRPr="006E3709" w:rsidRDefault="00E0760C" w:rsidP="009D1D2D">
      <w:pPr>
        <w:pStyle w:val="Prrafodelista"/>
        <w:numPr>
          <w:ilvl w:val="1"/>
          <w:numId w:val="35"/>
        </w:numPr>
        <w:tabs>
          <w:tab w:val="left" w:pos="1641"/>
        </w:tabs>
        <w:suppressAutoHyphens w:val="0"/>
        <w:spacing w:after="160" w:line="259" w:lineRule="auto"/>
        <w:ind w:left="0" w:hanging="426"/>
        <w:contextualSpacing/>
        <w:rPr>
          <w:rFonts w:ascii="Arial" w:hAnsi="Arial" w:cs="Arial"/>
          <w:b/>
          <w:sz w:val="22"/>
          <w:szCs w:val="22"/>
        </w:rPr>
      </w:pPr>
      <w:r w:rsidRPr="006E3709">
        <w:rPr>
          <w:rFonts w:ascii="Arial" w:hAnsi="Arial" w:cs="Arial"/>
          <w:b/>
          <w:sz w:val="22"/>
          <w:szCs w:val="22"/>
        </w:rPr>
        <w:t>Análisis de viabilidad al tetrazolio</w:t>
      </w:r>
    </w:p>
    <w:p w:rsidR="0090457C" w:rsidRPr="006E3709" w:rsidRDefault="0090457C" w:rsidP="006B7C85">
      <w:pPr>
        <w:pStyle w:val="Prrafodelista"/>
        <w:tabs>
          <w:tab w:val="left" w:pos="1641"/>
        </w:tabs>
        <w:ind w:left="0"/>
        <w:jc w:val="both"/>
        <w:rPr>
          <w:rFonts w:ascii="Arial" w:hAnsi="Arial" w:cs="Arial"/>
          <w:sz w:val="22"/>
          <w:szCs w:val="22"/>
        </w:rPr>
      </w:pPr>
    </w:p>
    <w:p w:rsidR="006B7C85" w:rsidRPr="006E3709" w:rsidRDefault="006B7C85" w:rsidP="009D1D2D">
      <w:pPr>
        <w:pStyle w:val="Prrafodelista"/>
        <w:tabs>
          <w:tab w:val="left" w:pos="1641"/>
        </w:tabs>
        <w:ind w:left="0" w:hanging="426"/>
        <w:jc w:val="both"/>
        <w:rPr>
          <w:rFonts w:ascii="Arial" w:hAnsi="Arial" w:cs="Arial"/>
          <w:sz w:val="22"/>
          <w:szCs w:val="22"/>
        </w:rPr>
      </w:pPr>
      <w:r w:rsidRPr="006E3709">
        <w:rPr>
          <w:rFonts w:ascii="Arial" w:hAnsi="Arial" w:cs="Arial"/>
          <w:sz w:val="22"/>
          <w:szCs w:val="22"/>
        </w:rPr>
        <w:t xml:space="preserve">El </w:t>
      </w:r>
      <w:proofErr w:type="spellStart"/>
      <w:r w:rsidRPr="006E3709">
        <w:rPr>
          <w:rFonts w:ascii="Arial" w:hAnsi="Arial" w:cs="Arial"/>
          <w:sz w:val="22"/>
          <w:szCs w:val="22"/>
        </w:rPr>
        <w:t>TDLSyCV</w:t>
      </w:r>
      <w:proofErr w:type="spellEnd"/>
      <w:r w:rsidRPr="006E3709">
        <w:rPr>
          <w:rFonts w:ascii="Arial" w:hAnsi="Arial" w:cs="Arial"/>
          <w:sz w:val="22"/>
          <w:szCs w:val="22"/>
        </w:rPr>
        <w:t xml:space="preserve"> </w:t>
      </w:r>
      <w:proofErr w:type="spellStart"/>
      <w:r w:rsidRPr="006E3709">
        <w:rPr>
          <w:rFonts w:ascii="Arial" w:hAnsi="Arial" w:cs="Arial"/>
          <w:sz w:val="22"/>
          <w:szCs w:val="22"/>
        </w:rPr>
        <w:t>recepcionará</w:t>
      </w:r>
      <w:proofErr w:type="spellEnd"/>
      <w:r w:rsidRPr="006E3709">
        <w:rPr>
          <w:rFonts w:ascii="Arial" w:hAnsi="Arial" w:cs="Arial"/>
          <w:sz w:val="22"/>
          <w:szCs w:val="22"/>
        </w:rPr>
        <w:t xml:space="preserve"> la muestra de semillas a ser analizada junto con el </w:t>
      </w:r>
      <w:r w:rsidR="00D37FC0" w:rsidRPr="006E3709">
        <w:rPr>
          <w:rFonts w:ascii="Arial" w:hAnsi="Arial" w:cs="Arial"/>
          <w:sz w:val="22"/>
          <w:szCs w:val="22"/>
        </w:rPr>
        <w:t>BI.</w:t>
      </w:r>
    </w:p>
    <w:p w:rsidR="006B7C85" w:rsidRPr="006E3709" w:rsidRDefault="006B7C85" w:rsidP="006B7C85">
      <w:pPr>
        <w:pStyle w:val="Prrafodelista"/>
        <w:ind w:left="0"/>
        <w:jc w:val="both"/>
        <w:rPr>
          <w:rFonts w:ascii="Arial" w:hAnsi="Arial" w:cs="Arial"/>
          <w:sz w:val="22"/>
          <w:szCs w:val="22"/>
        </w:rPr>
      </w:pPr>
    </w:p>
    <w:p w:rsidR="006B7C85" w:rsidRPr="006E3709" w:rsidRDefault="006B7C85" w:rsidP="006E3709">
      <w:pPr>
        <w:pStyle w:val="Prrafodelista"/>
        <w:ind w:left="-426"/>
        <w:jc w:val="both"/>
        <w:rPr>
          <w:rFonts w:ascii="Arial" w:hAnsi="Arial" w:cs="Arial"/>
          <w:sz w:val="22"/>
          <w:szCs w:val="22"/>
        </w:rPr>
      </w:pPr>
      <w:r w:rsidRPr="006E3709">
        <w:rPr>
          <w:rFonts w:ascii="Arial" w:hAnsi="Arial" w:cs="Arial"/>
          <w:sz w:val="22"/>
          <w:szCs w:val="22"/>
        </w:rPr>
        <w:t xml:space="preserve">Verificará en la Regla ISTA Tabla 6A Parte 1 y 2: Detalles del método de análisis de viabilidad al </w:t>
      </w:r>
      <w:proofErr w:type="spellStart"/>
      <w:r w:rsidRPr="006E3709">
        <w:rPr>
          <w:rFonts w:ascii="Arial" w:hAnsi="Arial" w:cs="Arial"/>
          <w:sz w:val="22"/>
          <w:szCs w:val="22"/>
        </w:rPr>
        <w:t>tetrazolio</w:t>
      </w:r>
      <w:proofErr w:type="spellEnd"/>
      <w:r w:rsidRPr="006E3709">
        <w:rPr>
          <w:rFonts w:ascii="Arial" w:hAnsi="Arial" w:cs="Arial"/>
          <w:sz w:val="22"/>
          <w:szCs w:val="22"/>
        </w:rPr>
        <w:t>.</w:t>
      </w:r>
    </w:p>
    <w:p w:rsidR="006B7C85" w:rsidRPr="006E3709" w:rsidRDefault="006B7C85" w:rsidP="009D1D2D">
      <w:pPr>
        <w:ind w:left="-426"/>
        <w:jc w:val="both"/>
        <w:rPr>
          <w:rFonts w:ascii="Arial" w:hAnsi="Arial" w:cs="Arial"/>
          <w:color w:val="000000"/>
          <w:sz w:val="22"/>
          <w:szCs w:val="22"/>
        </w:rPr>
      </w:pPr>
      <w:r w:rsidRPr="006E3709">
        <w:rPr>
          <w:rFonts w:ascii="Arial" w:hAnsi="Arial" w:cs="Arial"/>
          <w:b/>
          <w:color w:val="000000"/>
          <w:sz w:val="22"/>
          <w:szCs w:val="22"/>
        </w:rPr>
        <w:lastRenderedPageBreak/>
        <w:t xml:space="preserve">Nota </w:t>
      </w:r>
      <w:r w:rsidR="0081757C" w:rsidRPr="006E3709">
        <w:rPr>
          <w:rFonts w:ascii="Arial" w:hAnsi="Arial" w:cs="Arial"/>
          <w:b/>
          <w:color w:val="000000"/>
          <w:sz w:val="22"/>
          <w:szCs w:val="22"/>
        </w:rPr>
        <w:t>4</w:t>
      </w:r>
      <w:r w:rsidRPr="006E3709">
        <w:rPr>
          <w:rFonts w:ascii="Arial" w:hAnsi="Arial" w:cs="Arial"/>
          <w:color w:val="000000"/>
          <w:sz w:val="22"/>
          <w:szCs w:val="22"/>
        </w:rPr>
        <w:t>: El ensayo puede ser realizado también sobre semillas individuales que permanezcan</w:t>
      </w:r>
      <w:r w:rsidR="0081757C" w:rsidRPr="006E3709">
        <w:rPr>
          <w:rFonts w:ascii="Arial" w:hAnsi="Arial" w:cs="Arial"/>
          <w:color w:val="000000"/>
          <w:sz w:val="22"/>
          <w:szCs w:val="22"/>
        </w:rPr>
        <w:t xml:space="preserve"> latentes/no germinadas, finalizado </w:t>
      </w:r>
      <w:r w:rsidRPr="006E3709">
        <w:rPr>
          <w:rFonts w:ascii="Arial" w:hAnsi="Arial" w:cs="Arial"/>
          <w:color w:val="000000"/>
          <w:sz w:val="22"/>
          <w:szCs w:val="22"/>
        </w:rPr>
        <w:t>el ensayo de germinación.</w:t>
      </w:r>
    </w:p>
    <w:p w:rsidR="006B7C85" w:rsidRPr="006E3709" w:rsidRDefault="006B7C85" w:rsidP="006B7C85">
      <w:pPr>
        <w:ind w:left="360"/>
        <w:jc w:val="both"/>
        <w:rPr>
          <w:rFonts w:ascii="Arial" w:hAnsi="Arial" w:cs="Arial"/>
          <w:color w:val="000000"/>
          <w:sz w:val="22"/>
          <w:szCs w:val="22"/>
        </w:rPr>
      </w:pPr>
    </w:p>
    <w:p w:rsidR="006B7C85" w:rsidRPr="006E3709" w:rsidRDefault="006B7C85" w:rsidP="009D1D2D">
      <w:pPr>
        <w:pStyle w:val="Prrafodelista"/>
        <w:numPr>
          <w:ilvl w:val="2"/>
          <w:numId w:val="35"/>
        </w:numPr>
        <w:ind w:left="142" w:hanging="568"/>
        <w:jc w:val="both"/>
        <w:rPr>
          <w:rFonts w:ascii="Arial" w:hAnsi="Arial" w:cs="Arial"/>
          <w:b/>
          <w:color w:val="000000"/>
          <w:sz w:val="22"/>
          <w:szCs w:val="22"/>
        </w:rPr>
      </w:pPr>
      <w:r w:rsidRPr="006E3709">
        <w:rPr>
          <w:rFonts w:ascii="Arial" w:hAnsi="Arial" w:cs="Arial"/>
          <w:b/>
          <w:color w:val="000000"/>
          <w:sz w:val="22"/>
          <w:szCs w:val="22"/>
        </w:rPr>
        <w:t>Preparac</w:t>
      </w:r>
      <w:r w:rsidR="00D37FC0" w:rsidRPr="006E3709">
        <w:rPr>
          <w:rFonts w:ascii="Arial" w:hAnsi="Arial" w:cs="Arial"/>
          <w:b/>
          <w:color w:val="000000"/>
          <w:sz w:val="22"/>
          <w:szCs w:val="22"/>
        </w:rPr>
        <w:t>ión y tratamiento de la semilla</w:t>
      </w:r>
    </w:p>
    <w:p w:rsidR="00D37FC0" w:rsidRPr="006E3709" w:rsidRDefault="00D37FC0" w:rsidP="00D37FC0">
      <w:pPr>
        <w:pStyle w:val="Prrafodelista"/>
        <w:ind w:left="1800"/>
        <w:jc w:val="both"/>
        <w:rPr>
          <w:rFonts w:ascii="Arial" w:hAnsi="Arial" w:cs="Arial"/>
          <w:b/>
          <w:color w:val="000000"/>
          <w:sz w:val="22"/>
          <w:szCs w:val="22"/>
        </w:rPr>
      </w:pPr>
    </w:p>
    <w:p w:rsidR="00F46FDC" w:rsidRPr="006E3709" w:rsidRDefault="0081757C" w:rsidP="009D1D2D">
      <w:pPr>
        <w:ind w:left="-426"/>
        <w:jc w:val="both"/>
        <w:rPr>
          <w:rFonts w:ascii="Arial" w:hAnsi="Arial" w:cs="Arial"/>
          <w:color w:val="000000"/>
          <w:sz w:val="22"/>
          <w:szCs w:val="22"/>
        </w:rPr>
      </w:pPr>
      <w:r w:rsidRPr="006E3709">
        <w:rPr>
          <w:rFonts w:ascii="Arial" w:hAnsi="Arial" w:cs="Arial"/>
          <w:color w:val="000000"/>
          <w:sz w:val="22"/>
          <w:szCs w:val="22"/>
        </w:rPr>
        <w:t xml:space="preserve">Las semillas deben ser humedecidas previamente, </w:t>
      </w:r>
      <w:r w:rsidR="006B7C85" w:rsidRPr="006E3709">
        <w:rPr>
          <w:rFonts w:ascii="Arial" w:hAnsi="Arial" w:cs="Arial"/>
          <w:color w:val="000000"/>
          <w:sz w:val="22"/>
          <w:szCs w:val="22"/>
        </w:rPr>
        <w:t>el periodo mínimo de humedecimiento es indicado según lo indicado en el Cap.6 Tabla 6A Parte 1 y 2, Columna 2 de la Regla ISTA para cada especie y pueden ser:</w:t>
      </w:r>
    </w:p>
    <w:p w:rsidR="0081757C" w:rsidRPr="006E3709" w:rsidRDefault="0081757C" w:rsidP="009D1D2D">
      <w:pPr>
        <w:ind w:left="-426"/>
        <w:jc w:val="both"/>
        <w:rPr>
          <w:rFonts w:ascii="Arial" w:hAnsi="Arial" w:cs="Arial"/>
          <w:color w:val="000000"/>
          <w:sz w:val="22"/>
          <w:szCs w:val="22"/>
        </w:rPr>
      </w:pPr>
    </w:p>
    <w:p w:rsidR="00F46FDC" w:rsidRPr="006E3709" w:rsidRDefault="006B7C85" w:rsidP="009D1D2D">
      <w:pPr>
        <w:pStyle w:val="Prrafodelista"/>
        <w:numPr>
          <w:ilvl w:val="0"/>
          <w:numId w:val="38"/>
        </w:numPr>
        <w:ind w:left="284" w:hanging="284"/>
        <w:jc w:val="both"/>
        <w:rPr>
          <w:rFonts w:ascii="Arial" w:hAnsi="Arial" w:cs="Arial"/>
          <w:color w:val="000000"/>
          <w:sz w:val="22"/>
          <w:szCs w:val="22"/>
        </w:rPr>
      </w:pPr>
      <w:r w:rsidRPr="006E3709">
        <w:rPr>
          <w:rFonts w:ascii="Arial" w:hAnsi="Arial" w:cs="Arial"/>
          <w:color w:val="000000"/>
          <w:sz w:val="22"/>
          <w:szCs w:val="22"/>
        </w:rPr>
        <w:t>Humedecimiento lento: Se embebe la semilla dejándola sobre o entre papel de acuerdo con el método usado para el análisis de germi</w:t>
      </w:r>
      <w:r w:rsidRPr="006E3709">
        <w:rPr>
          <w:rFonts w:ascii="Arial" w:hAnsi="Arial" w:cs="Arial"/>
          <w:color w:val="000000"/>
          <w:sz w:val="22"/>
          <w:szCs w:val="22"/>
        </w:rPr>
        <w:softHyphen/>
        <w:t>nación.</w:t>
      </w:r>
    </w:p>
    <w:p w:rsidR="0081757C" w:rsidRPr="006E3709" w:rsidRDefault="0081757C" w:rsidP="0081757C">
      <w:pPr>
        <w:pStyle w:val="Prrafodelista"/>
        <w:ind w:left="284"/>
        <w:jc w:val="both"/>
        <w:rPr>
          <w:rFonts w:ascii="Arial" w:hAnsi="Arial" w:cs="Arial"/>
          <w:color w:val="000000"/>
          <w:sz w:val="22"/>
          <w:szCs w:val="22"/>
        </w:rPr>
      </w:pPr>
    </w:p>
    <w:p w:rsidR="006B7C85" w:rsidRPr="006E3709" w:rsidRDefault="0081757C" w:rsidP="009D1D2D">
      <w:pPr>
        <w:pStyle w:val="Prrafodelista"/>
        <w:numPr>
          <w:ilvl w:val="0"/>
          <w:numId w:val="38"/>
        </w:numPr>
        <w:ind w:left="284" w:hanging="284"/>
        <w:jc w:val="both"/>
        <w:rPr>
          <w:rFonts w:ascii="Arial" w:hAnsi="Arial" w:cs="Arial"/>
          <w:color w:val="000000"/>
          <w:sz w:val="22"/>
          <w:szCs w:val="22"/>
        </w:rPr>
      </w:pPr>
      <w:r w:rsidRPr="006E3709">
        <w:rPr>
          <w:rFonts w:ascii="Arial" w:hAnsi="Arial" w:cs="Arial"/>
          <w:color w:val="000000"/>
          <w:sz w:val="22"/>
          <w:szCs w:val="22"/>
        </w:rPr>
        <w:t xml:space="preserve">Humedecimiento </w:t>
      </w:r>
      <w:r w:rsidR="008933BB" w:rsidRPr="006E3709">
        <w:rPr>
          <w:rFonts w:ascii="Arial" w:hAnsi="Arial" w:cs="Arial"/>
          <w:color w:val="000000"/>
          <w:sz w:val="22"/>
          <w:szCs w:val="22"/>
        </w:rPr>
        <w:t xml:space="preserve">directo </w:t>
      </w:r>
      <w:r w:rsidRPr="006E3709">
        <w:rPr>
          <w:rFonts w:ascii="Arial" w:hAnsi="Arial" w:cs="Arial"/>
          <w:color w:val="000000"/>
          <w:sz w:val="22"/>
          <w:szCs w:val="22"/>
        </w:rPr>
        <w:t>en agua: l</w:t>
      </w:r>
      <w:r w:rsidR="006B7C85" w:rsidRPr="006E3709">
        <w:rPr>
          <w:rFonts w:ascii="Arial" w:hAnsi="Arial" w:cs="Arial"/>
          <w:color w:val="000000"/>
          <w:sz w:val="22"/>
          <w:szCs w:val="22"/>
        </w:rPr>
        <w:t>as semillas deben ser sumergidas completamente en agua y dejadas hasta que estén completamente embebidas. Si el periodo de imbibición supera las 24 horas, el agua debería cambiarse.</w:t>
      </w:r>
    </w:p>
    <w:p w:rsidR="00D37FC0" w:rsidRPr="006E3709" w:rsidRDefault="00D37FC0" w:rsidP="00D37FC0">
      <w:pPr>
        <w:ind w:left="426" w:hanging="426"/>
        <w:jc w:val="both"/>
        <w:rPr>
          <w:rFonts w:ascii="Arial" w:hAnsi="Arial" w:cs="Arial"/>
          <w:b/>
          <w:color w:val="000000"/>
          <w:sz w:val="22"/>
          <w:szCs w:val="22"/>
        </w:rPr>
      </w:pPr>
    </w:p>
    <w:p w:rsidR="006B7C85" w:rsidRPr="006E3709" w:rsidRDefault="006B7C85" w:rsidP="009D1D2D">
      <w:pPr>
        <w:ind w:left="426" w:hanging="852"/>
        <w:jc w:val="both"/>
        <w:rPr>
          <w:rFonts w:ascii="Arial" w:hAnsi="Arial" w:cs="Arial"/>
          <w:color w:val="000000"/>
          <w:sz w:val="22"/>
          <w:szCs w:val="22"/>
        </w:rPr>
      </w:pPr>
      <w:r w:rsidRPr="006E3709">
        <w:rPr>
          <w:rFonts w:ascii="Arial" w:hAnsi="Arial" w:cs="Arial"/>
          <w:b/>
          <w:color w:val="000000"/>
          <w:sz w:val="22"/>
          <w:szCs w:val="22"/>
        </w:rPr>
        <w:t xml:space="preserve">Nota </w:t>
      </w:r>
      <w:r w:rsidR="0081757C" w:rsidRPr="006E3709">
        <w:rPr>
          <w:rFonts w:ascii="Arial" w:hAnsi="Arial" w:cs="Arial"/>
          <w:b/>
          <w:color w:val="000000"/>
          <w:sz w:val="22"/>
          <w:szCs w:val="22"/>
        </w:rPr>
        <w:t>5</w:t>
      </w:r>
      <w:r w:rsidR="008933BB" w:rsidRPr="006E3709">
        <w:rPr>
          <w:rFonts w:ascii="Arial" w:hAnsi="Arial" w:cs="Arial"/>
          <w:color w:val="000000"/>
          <w:sz w:val="22"/>
          <w:szCs w:val="22"/>
        </w:rPr>
        <w:t>: El humedecimiento directo en agua debe</w:t>
      </w:r>
      <w:r w:rsidRPr="006E3709">
        <w:rPr>
          <w:rFonts w:ascii="Arial" w:hAnsi="Arial" w:cs="Arial"/>
          <w:color w:val="000000"/>
          <w:sz w:val="22"/>
          <w:szCs w:val="22"/>
        </w:rPr>
        <w:t xml:space="preserve"> realiza</w:t>
      </w:r>
      <w:r w:rsidR="008933BB" w:rsidRPr="006E3709">
        <w:rPr>
          <w:rFonts w:ascii="Arial" w:hAnsi="Arial" w:cs="Arial"/>
          <w:color w:val="000000"/>
          <w:sz w:val="22"/>
          <w:szCs w:val="22"/>
        </w:rPr>
        <w:t>rse</w:t>
      </w:r>
      <w:r w:rsidRPr="006E3709">
        <w:rPr>
          <w:rFonts w:ascii="Arial" w:hAnsi="Arial" w:cs="Arial"/>
          <w:color w:val="000000"/>
          <w:sz w:val="22"/>
          <w:szCs w:val="22"/>
        </w:rPr>
        <w:t xml:space="preserve"> a una temperatura de 20°C.</w:t>
      </w:r>
    </w:p>
    <w:p w:rsidR="006B7C85" w:rsidRPr="006E3709" w:rsidRDefault="006B7C85" w:rsidP="006B7C85">
      <w:pPr>
        <w:jc w:val="both"/>
        <w:rPr>
          <w:rFonts w:ascii="Arial" w:hAnsi="Arial" w:cs="Arial"/>
          <w:color w:val="000000"/>
          <w:sz w:val="22"/>
          <w:szCs w:val="22"/>
        </w:rPr>
      </w:pPr>
    </w:p>
    <w:p w:rsidR="006B7C85" w:rsidRPr="006E3709" w:rsidRDefault="00D37FC0" w:rsidP="009D1D2D">
      <w:pPr>
        <w:ind w:hanging="426"/>
        <w:jc w:val="both"/>
        <w:rPr>
          <w:rFonts w:ascii="Arial" w:hAnsi="Arial" w:cs="Arial"/>
          <w:b/>
          <w:color w:val="000000"/>
          <w:sz w:val="22"/>
          <w:szCs w:val="22"/>
        </w:rPr>
      </w:pPr>
      <w:r w:rsidRPr="006E3709">
        <w:rPr>
          <w:rFonts w:ascii="Arial" w:hAnsi="Arial" w:cs="Arial"/>
          <w:b/>
          <w:color w:val="000000"/>
          <w:sz w:val="22"/>
          <w:szCs w:val="22"/>
        </w:rPr>
        <w:t xml:space="preserve">5.5.2 </w:t>
      </w:r>
      <w:r w:rsidR="006B7C85" w:rsidRPr="006E3709">
        <w:rPr>
          <w:rFonts w:ascii="Arial" w:hAnsi="Arial" w:cs="Arial"/>
          <w:b/>
          <w:color w:val="000000"/>
          <w:sz w:val="22"/>
          <w:szCs w:val="22"/>
        </w:rPr>
        <w:t>Exposición de los tejidos antes del teñido</w:t>
      </w:r>
    </w:p>
    <w:p w:rsidR="00F46FDC" w:rsidRPr="006E3709" w:rsidRDefault="00F46FDC" w:rsidP="006B7C85">
      <w:pPr>
        <w:jc w:val="both"/>
        <w:rPr>
          <w:rFonts w:ascii="Arial" w:hAnsi="Arial" w:cs="Arial"/>
          <w:color w:val="000000"/>
          <w:sz w:val="22"/>
          <w:szCs w:val="22"/>
        </w:rPr>
      </w:pPr>
    </w:p>
    <w:p w:rsidR="00F46FDC" w:rsidRPr="006E3709" w:rsidRDefault="006B7C85" w:rsidP="009D1D2D">
      <w:pPr>
        <w:ind w:left="-426"/>
        <w:jc w:val="both"/>
        <w:rPr>
          <w:rFonts w:ascii="Arial" w:hAnsi="Arial" w:cs="Arial"/>
          <w:color w:val="000000"/>
          <w:sz w:val="22"/>
          <w:szCs w:val="22"/>
        </w:rPr>
      </w:pPr>
      <w:r w:rsidRPr="006E3709">
        <w:rPr>
          <w:rFonts w:ascii="Arial" w:hAnsi="Arial" w:cs="Arial"/>
          <w:color w:val="000000"/>
          <w:sz w:val="22"/>
          <w:szCs w:val="22"/>
        </w:rPr>
        <w:t>La manera de conseguir que los tejidos s</w:t>
      </w:r>
      <w:r w:rsidR="008933BB" w:rsidRPr="006E3709">
        <w:rPr>
          <w:rFonts w:ascii="Arial" w:hAnsi="Arial" w:cs="Arial"/>
          <w:color w:val="000000"/>
          <w:sz w:val="22"/>
          <w:szCs w:val="22"/>
        </w:rPr>
        <w:t>e tiñan está indicada en el Capítulo</w:t>
      </w:r>
      <w:r w:rsidRPr="006E3709">
        <w:rPr>
          <w:rFonts w:ascii="Arial" w:hAnsi="Arial" w:cs="Arial"/>
          <w:color w:val="000000"/>
          <w:sz w:val="22"/>
          <w:szCs w:val="22"/>
        </w:rPr>
        <w:t xml:space="preserve"> 6 Tabla 6A Parte 1 y 2, Columna 3 de la Regla ISTA para cada especie y pueden ser:</w:t>
      </w:r>
    </w:p>
    <w:p w:rsidR="008933BB" w:rsidRPr="006E3709" w:rsidRDefault="008933BB" w:rsidP="009D1D2D">
      <w:pPr>
        <w:ind w:left="-426"/>
        <w:jc w:val="both"/>
        <w:rPr>
          <w:rFonts w:ascii="Arial" w:hAnsi="Arial" w:cs="Arial"/>
          <w:color w:val="000000"/>
          <w:sz w:val="22"/>
          <w:szCs w:val="22"/>
        </w:rPr>
      </w:pPr>
    </w:p>
    <w:p w:rsidR="008933BB" w:rsidRPr="006E3709" w:rsidRDefault="006B7C85" w:rsidP="009D1D2D">
      <w:pPr>
        <w:pStyle w:val="Prrafodelista"/>
        <w:numPr>
          <w:ilvl w:val="0"/>
          <w:numId w:val="39"/>
        </w:numPr>
        <w:ind w:left="284" w:hanging="284"/>
        <w:jc w:val="both"/>
        <w:rPr>
          <w:rFonts w:ascii="Arial" w:hAnsi="Arial" w:cs="Arial"/>
          <w:color w:val="000000"/>
          <w:sz w:val="22"/>
          <w:szCs w:val="22"/>
        </w:rPr>
      </w:pPr>
      <w:r w:rsidRPr="006E3709">
        <w:rPr>
          <w:rFonts w:ascii="Arial" w:hAnsi="Arial" w:cs="Arial"/>
          <w:color w:val="000000"/>
          <w:sz w:val="22"/>
          <w:szCs w:val="22"/>
        </w:rPr>
        <w:t xml:space="preserve">Perforación de la semilla: </w:t>
      </w:r>
    </w:p>
    <w:p w:rsidR="00F46FDC" w:rsidRPr="006E3709" w:rsidRDefault="006B7C85" w:rsidP="008933BB">
      <w:pPr>
        <w:pStyle w:val="Prrafodelista"/>
        <w:ind w:left="284"/>
        <w:jc w:val="both"/>
        <w:rPr>
          <w:rFonts w:ascii="Arial" w:hAnsi="Arial" w:cs="Arial"/>
          <w:color w:val="000000"/>
          <w:sz w:val="22"/>
          <w:szCs w:val="22"/>
        </w:rPr>
      </w:pPr>
      <w:r w:rsidRPr="006E3709">
        <w:rPr>
          <w:rFonts w:ascii="Arial" w:hAnsi="Arial" w:cs="Arial"/>
          <w:color w:val="000000"/>
          <w:sz w:val="22"/>
          <w:szCs w:val="22"/>
        </w:rPr>
        <w:t>Las semillas con humedecimiento previo o duras deberán ser perforadas en una parte no esencial de la semilla usando una aguja o un bisturí afilado.</w:t>
      </w:r>
    </w:p>
    <w:p w:rsidR="008933BB" w:rsidRPr="006E3709" w:rsidRDefault="008933BB" w:rsidP="008933BB">
      <w:pPr>
        <w:pStyle w:val="Prrafodelista"/>
        <w:ind w:left="284"/>
        <w:jc w:val="both"/>
        <w:rPr>
          <w:rFonts w:ascii="Arial" w:hAnsi="Arial" w:cs="Arial"/>
          <w:color w:val="000000"/>
          <w:sz w:val="22"/>
          <w:szCs w:val="22"/>
        </w:rPr>
      </w:pPr>
    </w:p>
    <w:p w:rsidR="006B7C85" w:rsidRPr="006E3709" w:rsidRDefault="006B7C85" w:rsidP="009D1D2D">
      <w:pPr>
        <w:pStyle w:val="Prrafodelista"/>
        <w:numPr>
          <w:ilvl w:val="0"/>
          <w:numId w:val="39"/>
        </w:numPr>
        <w:ind w:left="284" w:hanging="284"/>
        <w:jc w:val="both"/>
        <w:rPr>
          <w:rFonts w:ascii="Arial" w:hAnsi="Arial" w:cs="Arial"/>
          <w:color w:val="000000"/>
          <w:sz w:val="22"/>
          <w:szCs w:val="22"/>
        </w:rPr>
      </w:pPr>
      <w:r w:rsidRPr="006E3709">
        <w:rPr>
          <w:rFonts w:ascii="Arial" w:hAnsi="Arial" w:cs="Arial"/>
          <w:color w:val="000000"/>
          <w:sz w:val="22"/>
          <w:szCs w:val="22"/>
        </w:rPr>
        <w:t xml:space="preserve">Corte longitudinal: </w:t>
      </w:r>
    </w:p>
    <w:p w:rsidR="006B7C85" w:rsidRPr="006E3709" w:rsidRDefault="00F46FDC"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P</w:t>
      </w:r>
      <w:r w:rsidR="006B7C85" w:rsidRPr="006E3709">
        <w:rPr>
          <w:rFonts w:ascii="Arial" w:hAnsi="Arial" w:cs="Arial"/>
          <w:color w:val="000000"/>
          <w:sz w:val="22"/>
          <w:szCs w:val="22"/>
        </w:rPr>
        <w:t xml:space="preserve">or el medio del eje embrionario y aproximadamente ¾ partes de la longitud del endospermo (en semillas de cereales y pasturas del tamaño de </w:t>
      </w:r>
      <w:proofErr w:type="spellStart"/>
      <w:r w:rsidR="006B7C85" w:rsidRPr="006E3709">
        <w:rPr>
          <w:rFonts w:ascii="Arial" w:hAnsi="Arial" w:cs="Arial"/>
          <w:i/>
          <w:color w:val="000000"/>
          <w:sz w:val="22"/>
          <w:szCs w:val="22"/>
        </w:rPr>
        <w:t>Festuca</w:t>
      </w:r>
      <w:proofErr w:type="spellEnd"/>
      <w:r w:rsidR="006B7C85" w:rsidRPr="006E3709">
        <w:rPr>
          <w:rFonts w:ascii="Arial" w:hAnsi="Arial" w:cs="Arial"/>
          <w:i/>
          <w:color w:val="000000"/>
          <w:sz w:val="22"/>
          <w:szCs w:val="22"/>
        </w:rPr>
        <w:t xml:space="preserve"> </w:t>
      </w:r>
      <w:proofErr w:type="spellStart"/>
      <w:r w:rsidR="006B7C85" w:rsidRPr="006E3709">
        <w:rPr>
          <w:rFonts w:ascii="Arial" w:hAnsi="Arial" w:cs="Arial"/>
          <w:color w:val="000000"/>
          <w:sz w:val="22"/>
          <w:szCs w:val="22"/>
        </w:rPr>
        <w:t>spp</w:t>
      </w:r>
      <w:proofErr w:type="spellEnd"/>
      <w:r w:rsidR="006B7C85" w:rsidRPr="006E3709">
        <w:rPr>
          <w:rFonts w:ascii="Arial" w:hAnsi="Arial" w:cs="Arial"/>
          <w:color w:val="000000"/>
          <w:sz w:val="22"/>
          <w:szCs w:val="22"/>
        </w:rPr>
        <w:t xml:space="preserve">., o más grandes); </w:t>
      </w:r>
    </w:p>
    <w:p w:rsidR="006B7C85" w:rsidRPr="006E3709" w:rsidRDefault="00F46FDC"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P</w:t>
      </w:r>
      <w:r w:rsidR="006B7C85" w:rsidRPr="006E3709">
        <w:rPr>
          <w:rFonts w:ascii="Arial" w:hAnsi="Arial" w:cs="Arial"/>
          <w:color w:val="000000"/>
          <w:sz w:val="22"/>
          <w:szCs w:val="22"/>
        </w:rPr>
        <w:t>or e</w:t>
      </w:r>
      <w:r w:rsidRPr="006E3709">
        <w:rPr>
          <w:rFonts w:ascii="Arial" w:hAnsi="Arial" w:cs="Arial"/>
          <w:color w:val="000000"/>
          <w:sz w:val="22"/>
          <w:szCs w:val="22"/>
        </w:rPr>
        <w:t>l medio de la mitad distal de la</w:t>
      </w:r>
      <w:r w:rsidR="006B7C85" w:rsidRPr="006E3709">
        <w:rPr>
          <w:rFonts w:ascii="Arial" w:hAnsi="Arial" w:cs="Arial"/>
          <w:color w:val="000000"/>
          <w:sz w:val="22"/>
          <w:szCs w:val="22"/>
        </w:rPr>
        <w:t xml:space="preserve">s dicotiledóneas, dejando el eje embrionario sin cortar (semillas de dicotiledóneas sin </w:t>
      </w:r>
      <w:proofErr w:type="spellStart"/>
      <w:r w:rsidR="006B7C85" w:rsidRPr="006E3709">
        <w:rPr>
          <w:rFonts w:ascii="Arial" w:hAnsi="Arial" w:cs="Arial"/>
          <w:color w:val="000000"/>
          <w:sz w:val="22"/>
          <w:szCs w:val="22"/>
        </w:rPr>
        <w:t>endosperma</w:t>
      </w:r>
      <w:proofErr w:type="spellEnd"/>
      <w:r w:rsidR="006B7C85" w:rsidRPr="006E3709">
        <w:rPr>
          <w:rFonts w:ascii="Arial" w:hAnsi="Arial" w:cs="Arial"/>
          <w:color w:val="000000"/>
          <w:sz w:val="22"/>
          <w:szCs w:val="22"/>
        </w:rPr>
        <w:t xml:space="preserve"> y con un embrión recto: </w:t>
      </w:r>
      <w:proofErr w:type="spellStart"/>
      <w:r w:rsidR="006B7C85" w:rsidRPr="006E3709">
        <w:rPr>
          <w:rFonts w:ascii="Arial" w:hAnsi="Arial" w:cs="Arial"/>
          <w:i/>
          <w:color w:val="000000"/>
          <w:sz w:val="22"/>
          <w:szCs w:val="22"/>
        </w:rPr>
        <w:t>Lactuca</w:t>
      </w:r>
      <w:proofErr w:type="spellEnd"/>
      <w:r w:rsidR="006B7C85" w:rsidRPr="006E3709">
        <w:rPr>
          <w:rFonts w:ascii="Arial" w:hAnsi="Arial" w:cs="Arial"/>
          <w:color w:val="000000"/>
          <w:sz w:val="22"/>
          <w:szCs w:val="22"/>
        </w:rPr>
        <w:t xml:space="preserve"> </w:t>
      </w:r>
      <w:proofErr w:type="spellStart"/>
      <w:r w:rsidR="006B7C85" w:rsidRPr="006E3709">
        <w:rPr>
          <w:rFonts w:ascii="Arial" w:hAnsi="Arial" w:cs="Arial"/>
          <w:color w:val="000000"/>
          <w:sz w:val="22"/>
          <w:szCs w:val="22"/>
        </w:rPr>
        <w:t>spp</w:t>
      </w:r>
      <w:proofErr w:type="spellEnd"/>
      <w:r w:rsidR="006B7C85" w:rsidRPr="006E3709">
        <w:rPr>
          <w:rFonts w:ascii="Arial" w:hAnsi="Arial" w:cs="Arial"/>
          <w:color w:val="000000"/>
          <w:sz w:val="22"/>
          <w:szCs w:val="22"/>
        </w:rPr>
        <w:t>.,</w:t>
      </w:r>
      <w:r w:rsidRPr="006E3709">
        <w:rPr>
          <w:rFonts w:ascii="Arial" w:hAnsi="Arial" w:cs="Arial"/>
          <w:color w:val="000000"/>
          <w:sz w:val="22"/>
          <w:szCs w:val="22"/>
        </w:rPr>
        <w:t xml:space="preserve"> </w:t>
      </w:r>
      <w:r w:rsidR="006B7C85" w:rsidRPr="006E3709">
        <w:rPr>
          <w:rFonts w:ascii="Arial" w:hAnsi="Arial" w:cs="Arial"/>
          <w:color w:val="000000"/>
          <w:sz w:val="22"/>
          <w:szCs w:val="22"/>
        </w:rPr>
        <w:t xml:space="preserve">y otras </w:t>
      </w:r>
      <w:proofErr w:type="spellStart"/>
      <w:r w:rsidR="006B7C85" w:rsidRPr="006E3709">
        <w:rPr>
          <w:rFonts w:ascii="Arial" w:hAnsi="Arial" w:cs="Arial"/>
          <w:i/>
          <w:color w:val="000000"/>
          <w:sz w:val="22"/>
          <w:szCs w:val="22"/>
        </w:rPr>
        <w:t>Asteraceae</w:t>
      </w:r>
      <w:proofErr w:type="spellEnd"/>
      <w:r w:rsidR="006B7C85" w:rsidRPr="006E3709">
        <w:rPr>
          <w:rFonts w:ascii="Arial" w:hAnsi="Arial" w:cs="Arial"/>
          <w:color w:val="000000"/>
          <w:sz w:val="22"/>
          <w:szCs w:val="22"/>
        </w:rPr>
        <w:t xml:space="preserve">); </w:t>
      </w:r>
    </w:p>
    <w:p w:rsidR="006B7C85" w:rsidRPr="006E3709" w:rsidRDefault="00F46FDC"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C</w:t>
      </w:r>
      <w:r w:rsidR="006B7C85" w:rsidRPr="006E3709">
        <w:rPr>
          <w:rFonts w:ascii="Arial" w:hAnsi="Arial" w:cs="Arial"/>
          <w:color w:val="000000"/>
          <w:sz w:val="22"/>
          <w:szCs w:val="22"/>
        </w:rPr>
        <w:t xml:space="preserve">orte longitudinal a lo largo del embrión en semillas donde hay un embrión rodeado por tejido vivo (Fam. </w:t>
      </w:r>
      <w:proofErr w:type="spellStart"/>
      <w:r w:rsidR="006B7C85" w:rsidRPr="006E3709">
        <w:rPr>
          <w:rFonts w:ascii="Arial" w:hAnsi="Arial" w:cs="Arial"/>
          <w:color w:val="000000"/>
          <w:sz w:val="22"/>
          <w:szCs w:val="22"/>
        </w:rPr>
        <w:t>Apiaceae</w:t>
      </w:r>
      <w:proofErr w:type="spellEnd"/>
      <w:r w:rsidR="006B7C85" w:rsidRPr="006E3709">
        <w:rPr>
          <w:rFonts w:ascii="Arial" w:hAnsi="Arial" w:cs="Arial"/>
          <w:color w:val="000000"/>
          <w:sz w:val="22"/>
          <w:szCs w:val="22"/>
        </w:rPr>
        <w:t xml:space="preserve"> y coníferas).</w:t>
      </w:r>
    </w:p>
    <w:p w:rsidR="008933BB" w:rsidRPr="006E3709" w:rsidRDefault="008933BB" w:rsidP="008933BB">
      <w:pPr>
        <w:pStyle w:val="Prrafodelista"/>
        <w:ind w:left="284"/>
        <w:jc w:val="both"/>
        <w:rPr>
          <w:rFonts w:ascii="Arial" w:hAnsi="Arial" w:cs="Arial"/>
          <w:color w:val="000000"/>
          <w:sz w:val="22"/>
          <w:szCs w:val="22"/>
        </w:rPr>
      </w:pPr>
    </w:p>
    <w:p w:rsidR="006B7C85" w:rsidRPr="006E3709" w:rsidRDefault="006B7C85" w:rsidP="009D1D2D">
      <w:pPr>
        <w:pStyle w:val="Prrafodelista"/>
        <w:numPr>
          <w:ilvl w:val="0"/>
          <w:numId w:val="39"/>
        </w:numPr>
        <w:ind w:left="284" w:hanging="284"/>
        <w:jc w:val="both"/>
        <w:rPr>
          <w:rFonts w:ascii="Arial" w:hAnsi="Arial" w:cs="Arial"/>
          <w:color w:val="000000"/>
          <w:sz w:val="22"/>
          <w:szCs w:val="22"/>
        </w:rPr>
      </w:pPr>
      <w:r w:rsidRPr="006E3709">
        <w:rPr>
          <w:rFonts w:ascii="Arial" w:hAnsi="Arial" w:cs="Arial"/>
          <w:color w:val="000000"/>
          <w:sz w:val="22"/>
          <w:szCs w:val="22"/>
        </w:rPr>
        <w:t xml:space="preserve">Corte transversal: </w:t>
      </w:r>
    </w:p>
    <w:p w:rsidR="006B7C85" w:rsidRPr="006E3709" w:rsidRDefault="00F46FDC"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C</w:t>
      </w:r>
      <w:r w:rsidR="006B7C85" w:rsidRPr="006E3709">
        <w:rPr>
          <w:rFonts w:ascii="Arial" w:hAnsi="Arial" w:cs="Arial"/>
          <w:color w:val="000000"/>
          <w:sz w:val="22"/>
          <w:szCs w:val="22"/>
        </w:rPr>
        <w:t xml:space="preserve">orte cerca del embrión (eliminando </w:t>
      </w:r>
      <w:proofErr w:type="spellStart"/>
      <w:r w:rsidR="006B7C85" w:rsidRPr="006E3709">
        <w:rPr>
          <w:rFonts w:ascii="Arial" w:hAnsi="Arial" w:cs="Arial"/>
          <w:color w:val="000000"/>
          <w:sz w:val="22"/>
          <w:szCs w:val="22"/>
        </w:rPr>
        <w:t>glumelas</w:t>
      </w:r>
      <w:proofErr w:type="spellEnd"/>
      <w:r w:rsidR="006B7C85" w:rsidRPr="006E3709">
        <w:rPr>
          <w:rFonts w:ascii="Arial" w:hAnsi="Arial" w:cs="Arial"/>
          <w:color w:val="000000"/>
          <w:sz w:val="22"/>
          <w:szCs w:val="22"/>
        </w:rPr>
        <w:t xml:space="preserve">): </w:t>
      </w:r>
      <w:proofErr w:type="spellStart"/>
      <w:r w:rsidR="006B7C85" w:rsidRPr="006E3709">
        <w:rPr>
          <w:rFonts w:ascii="Arial" w:hAnsi="Arial" w:cs="Arial"/>
          <w:i/>
          <w:color w:val="000000"/>
          <w:sz w:val="22"/>
          <w:szCs w:val="22"/>
        </w:rPr>
        <w:t>Phalaris</w:t>
      </w:r>
      <w:proofErr w:type="spellEnd"/>
      <w:r w:rsidR="006B7C85" w:rsidRPr="006E3709">
        <w:rPr>
          <w:rFonts w:ascii="Arial" w:hAnsi="Arial" w:cs="Arial"/>
          <w:color w:val="000000"/>
          <w:sz w:val="22"/>
          <w:szCs w:val="22"/>
        </w:rPr>
        <w:t xml:space="preserve"> </w:t>
      </w:r>
      <w:proofErr w:type="spellStart"/>
      <w:r w:rsidR="006B7C85" w:rsidRPr="006E3709">
        <w:rPr>
          <w:rFonts w:ascii="Arial" w:hAnsi="Arial" w:cs="Arial"/>
          <w:color w:val="000000"/>
          <w:sz w:val="22"/>
          <w:szCs w:val="22"/>
        </w:rPr>
        <w:t>spp</w:t>
      </w:r>
      <w:proofErr w:type="spellEnd"/>
      <w:r w:rsidR="006B7C85" w:rsidRPr="006E3709">
        <w:rPr>
          <w:rFonts w:ascii="Arial" w:hAnsi="Arial" w:cs="Arial"/>
          <w:color w:val="000000"/>
          <w:sz w:val="22"/>
          <w:szCs w:val="22"/>
        </w:rPr>
        <w:t xml:space="preserve">, </w:t>
      </w:r>
      <w:proofErr w:type="spellStart"/>
      <w:r w:rsidR="006B7C85" w:rsidRPr="006E3709">
        <w:rPr>
          <w:rFonts w:ascii="Arial" w:hAnsi="Arial" w:cs="Arial"/>
          <w:i/>
          <w:color w:val="000000"/>
          <w:sz w:val="22"/>
          <w:szCs w:val="22"/>
        </w:rPr>
        <w:t>Elytrigia</w:t>
      </w:r>
      <w:proofErr w:type="spellEnd"/>
      <w:r w:rsidR="006B7C85" w:rsidRPr="006E3709">
        <w:rPr>
          <w:rFonts w:ascii="Arial" w:hAnsi="Arial" w:cs="Arial"/>
          <w:i/>
          <w:color w:val="000000"/>
          <w:sz w:val="22"/>
          <w:szCs w:val="22"/>
        </w:rPr>
        <w:t xml:space="preserve"> </w:t>
      </w:r>
      <w:proofErr w:type="spellStart"/>
      <w:r w:rsidR="006B7C85" w:rsidRPr="006E3709">
        <w:rPr>
          <w:rFonts w:ascii="Arial" w:hAnsi="Arial" w:cs="Arial"/>
          <w:color w:val="000000"/>
          <w:sz w:val="22"/>
          <w:szCs w:val="22"/>
        </w:rPr>
        <w:t>spp</w:t>
      </w:r>
      <w:proofErr w:type="spellEnd"/>
      <w:r w:rsidR="006B7C85" w:rsidRPr="006E3709">
        <w:rPr>
          <w:rFonts w:ascii="Arial" w:hAnsi="Arial" w:cs="Arial"/>
          <w:color w:val="000000"/>
          <w:sz w:val="22"/>
          <w:szCs w:val="22"/>
        </w:rPr>
        <w:t xml:space="preserve"> </w:t>
      </w:r>
    </w:p>
    <w:p w:rsidR="00F46FDC" w:rsidRPr="006E3709" w:rsidRDefault="00F46FDC"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C</w:t>
      </w:r>
      <w:r w:rsidR="006B7C85" w:rsidRPr="006E3709">
        <w:rPr>
          <w:rFonts w:ascii="Arial" w:hAnsi="Arial" w:cs="Arial"/>
          <w:color w:val="000000"/>
          <w:sz w:val="22"/>
          <w:szCs w:val="22"/>
        </w:rPr>
        <w:t xml:space="preserve">orte y descarte de un fragmento cuyo tamaño sea de un tercio a un quinto del extremo distal de los cotiledones (semillas de dicotiledóneas con un embrión recto y sin </w:t>
      </w:r>
      <w:proofErr w:type="spellStart"/>
      <w:r w:rsidR="006B7C85" w:rsidRPr="006E3709">
        <w:rPr>
          <w:rFonts w:ascii="Arial" w:hAnsi="Arial" w:cs="Arial"/>
          <w:color w:val="000000"/>
          <w:sz w:val="22"/>
          <w:szCs w:val="22"/>
        </w:rPr>
        <w:t>endosperma</w:t>
      </w:r>
      <w:proofErr w:type="spellEnd"/>
      <w:r w:rsidR="006B7C85" w:rsidRPr="006E3709">
        <w:rPr>
          <w:rFonts w:ascii="Arial" w:hAnsi="Arial" w:cs="Arial"/>
          <w:color w:val="000000"/>
          <w:sz w:val="22"/>
          <w:szCs w:val="22"/>
        </w:rPr>
        <w:t>)</w:t>
      </w:r>
      <w:r w:rsidRPr="006E3709">
        <w:rPr>
          <w:rFonts w:ascii="Arial" w:hAnsi="Arial" w:cs="Arial"/>
          <w:color w:val="000000"/>
          <w:sz w:val="22"/>
          <w:szCs w:val="22"/>
        </w:rPr>
        <w:t>.</w:t>
      </w:r>
      <w:r w:rsidR="006B7C85" w:rsidRPr="006E3709">
        <w:rPr>
          <w:rFonts w:ascii="Arial" w:hAnsi="Arial" w:cs="Arial"/>
          <w:color w:val="000000"/>
          <w:sz w:val="22"/>
          <w:szCs w:val="22"/>
        </w:rPr>
        <w:t xml:space="preserve"> </w:t>
      </w:r>
    </w:p>
    <w:p w:rsidR="0091700A" w:rsidRPr="006E3709" w:rsidRDefault="00F46FDC"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C</w:t>
      </w:r>
      <w:r w:rsidR="006B7C85" w:rsidRPr="006E3709">
        <w:rPr>
          <w:rFonts w:ascii="Arial" w:hAnsi="Arial" w:cs="Arial"/>
          <w:color w:val="000000"/>
          <w:sz w:val="22"/>
          <w:szCs w:val="22"/>
        </w:rPr>
        <w:t>orte transversal en ambos extremos de la semilla abriendo la cavidad seminal sin dañar al embrión (semillas en coníferas)</w:t>
      </w:r>
      <w:r w:rsidRPr="006E3709">
        <w:rPr>
          <w:rFonts w:ascii="Arial" w:hAnsi="Arial" w:cs="Arial"/>
          <w:color w:val="000000"/>
          <w:sz w:val="22"/>
          <w:szCs w:val="22"/>
        </w:rPr>
        <w:t>.</w:t>
      </w:r>
      <w:r w:rsidR="006B7C85" w:rsidRPr="006E3709">
        <w:rPr>
          <w:rFonts w:ascii="Arial" w:hAnsi="Arial" w:cs="Arial"/>
          <w:color w:val="000000"/>
          <w:sz w:val="22"/>
          <w:szCs w:val="22"/>
        </w:rPr>
        <w:t xml:space="preserve"> </w:t>
      </w:r>
    </w:p>
    <w:p w:rsidR="0091700A" w:rsidRPr="006E3709" w:rsidRDefault="006B7C85" w:rsidP="009D1D2D">
      <w:pPr>
        <w:pStyle w:val="Prrafodelista"/>
        <w:numPr>
          <w:ilvl w:val="0"/>
          <w:numId w:val="39"/>
        </w:numPr>
        <w:ind w:left="284" w:hanging="284"/>
        <w:jc w:val="both"/>
        <w:rPr>
          <w:rFonts w:ascii="Arial" w:hAnsi="Arial" w:cs="Arial"/>
          <w:color w:val="000000"/>
          <w:sz w:val="22"/>
          <w:szCs w:val="22"/>
        </w:rPr>
      </w:pPr>
      <w:r w:rsidRPr="006E3709">
        <w:rPr>
          <w:rFonts w:ascii="Arial" w:hAnsi="Arial" w:cs="Arial"/>
          <w:color w:val="000000"/>
          <w:sz w:val="22"/>
          <w:szCs w:val="22"/>
        </w:rPr>
        <w:t xml:space="preserve">Incisión transversal: método para semillas pequeñas de pasturas del tamaño de </w:t>
      </w:r>
      <w:proofErr w:type="spellStart"/>
      <w:r w:rsidRPr="006E3709">
        <w:rPr>
          <w:rFonts w:ascii="Arial" w:hAnsi="Arial" w:cs="Arial"/>
          <w:i/>
          <w:color w:val="000000"/>
          <w:sz w:val="22"/>
          <w:szCs w:val="22"/>
        </w:rPr>
        <w:t>Agrostis</w:t>
      </w:r>
      <w:proofErr w:type="spellEnd"/>
      <w:r w:rsidRPr="006E3709">
        <w:rPr>
          <w:rFonts w:ascii="Arial" w:hAnsi="Arial" w:cs="Arial"/>
          <w:i/>
          <w:color w:val="000000"/>
          <w:sz w:val="22"/>
          <w:szCs w:val="22"/>
        </w:rPr>
        <w:t xml:space="preserve">, </w:t>
      </w:r>
      <w:proofErr w:type="spellStart"/>
      <w:r w:rsidRPr="006E3709">
        <w:rPr>
          <w:rFonts w:ascii="Arial" w:hAnsi="Arial" w:cs="Arial"/>
          <w:i/>
          <w:color w:val="000000"/>
          <w:sz w:val="22"/>
          <w:szCs w:val="22"/>
        </w:rPr>
        <w:t>Phleum</w:t>
      </w:r>
      <w:proofErr w:type="spellEnd"/>
      <w:r w:rsidRPr="006E3709">
        <w:rPr>
          <w:rFonts w:ascii="Arial" w:hAnsi="Arial" w:cs="Arial"/>
          <w:color w:val="000000"/>
          <w:sz w:val="22"/>
          <w:szCs w:val="22"/>
        </w:rPr>
        <w:t xml:space="preserve"> y</w:t>
      </w:r>
      <w:r w:rsidRPr="006E3709">
        <w:rPr>
          <w:rFonts w:ascii="Arial" w:hAnsi="Arial" w:cs="Arial"/>
          <w:i/>
          <w:color w:val="000000"/>
          <w:sz w:val="22"/>
          <w:szCs w:val="22"/>
        </w:rPr>
        <w:t xml:space="preserve"> Poa</w:t>
      </w:r>
      <w:r w:rsidRPr="006E3709">
        <w:rPr>
          <w:rFonts w:ascii="Arial" w:hAnsi="Arial" w:cs="Arial"/>
          <w:color w:val="000000"/>
          <w:sz w:val="22"/>
          <w:szCs w:val="22"/>
        </w:rPr>
        <w:t>.</w:t>
      </w:r>
    </w:p>
    <w:p w:rsidR="008933BB" w:rsidRPr="006E3709" w:rsidRDefault="008933BB" w:rsidP="008933BB">
      <w:pPr>
        <w:pStyle w:val="Prrafodelista"/>
        <w:ind w:left="284"/>
        <w:jc w:val="both"/>
        <w:rPr>
          <w:rFonts w:ascii="Arial" w:hAnsi="Arial" w:cs="Arial"/>
          <w:color w:val="000000"/>
          <w:sz w:val="22"/>
          <w:szCs w:val="22"/>
        </w:rPr>
      </w:pPr>
    </w:p>
    <w:p w:rsidR="0091700A" w:rsidRPr="006E3709" w:rsidRDefault="006B7C85" w:rsidP="009D1D2D">
      <w:pPr>
        <w:pStyle w:val="Prrafodelista"/>
        <w:numPr>
          <w:ilvl w:val="0"/>
          <w:numId w:val="39"/>
        </w:numPr>
        <w:ind w:left="284" w:hanging="284"/>
        <w:jc w:val="both"/>
        <w:rPr>
          <w:rFonts w:ascii="Arial" w:hAnsi="Arial" w:cs="Arial"/>
          <w:color w:val="000000"/>
          <w:sz w:val="22"/>
          <w:szCs w:val="22"/>
        </w:rPr>
      </w:pPr>
      <w:r w:rsidRPr="006E3709">
        <w:rPr>
          <w:rFonts w:ascii="Arial" w:hAnsi="Arial" w:cs="Arial"/>
          <w:color w:val="000000"/>
          <w:sz w:val="22"/>
          <w:szCs w:val="22"/>
        </w:rPr>
        <w:t xml:space="preserve">Extracción del embrión: Teñir el embrión con el </w:t>
      </w:r>
      <w:proofErr w:type="spellStart"/>
      <w:r w:rsidRPr="006E3709">
        <w:rPr>
          <w:rFonts w:ascii="Arial" w:hAnsi="Arial" w:cs="Arial"/>
          <w:color w:val="000000"/>
          <w:sz w:val="22"/>
          <w:szCs w:val="22"/>
        </w:rPr>
        <w:t>endosperma</w:t>
      </w:r>
      <w:proofErr w:type="spellEnd"/>
      <w:r w:rsidRPr="006E3709">
        <w:rPr>
          <w:rFonts w:ascii="Arial" w:hAnsi="Arial" w:cs="Arial"/>
          <w:color w:val="000000"/>
          <w:sz w:val="22"/>
          <w:szCs w:val="22"/>
        </w:rPr>
        <w:t xml:space="preserve"> encima del escutelo desprendido del </w:t>
      </w:r>
      <w:proofErr w:type="spellStart"/>
      <w:r w:rsidRPr="006E3709">
        <w:rPr>
          <w:rFonts w:ascii="Arial" w:hAnsi="Arial" w:cs="Arial"/>
          <w:color w:val="000000"/>
          <w:sz w:val="22"/>
          <w:szCs w:val="22"/>
        </w:rPr>
        <w:t>endosperma</w:t>
      </w:r>
      <w:proofErr w:type="spellEnd"/>
      <w:r w:rsidRPr="006E3709">
        <w:rPr>
          <w:rFonts w:ascii="Arial" w:hAnsi="Arial" w:cs="Arial"/>
          <w:color w:val="000000"/>
          <w:sz w:val="22"/>
          <w:szCs w:val="22"/>
        </w:rPr>
        <w:t xml:space="preserve"> (</w:t>
      </w:r>
      <w:proofErr w:type="spellStart"/>
      <w:r w:rsidRPr="006E3709">
        <w:rPr>
          <w:rFonts w:ascii="Arial" w:hAnsi="Arial" w:cs="Arial"/>
          <w:i/>
          <w:color w:val="000000"/>
          <w:sz w:val="22"/>
          <w:szCs w:val="22"/>
        </w:rPr>
        <w:t>Hordeum</w:t>
      </w:r>
      <w:proofErr w:type="spellEnd"/>
      <w:r w:rsidRPr="006E3709">
        <w:rPr>
          <w:rFonts w:ascii="Arial" w:hAnsi="Arial" w:cs="Arial"/>
          <w:i/>
          <w:color w:val="000000"/>
          <w:sz w:val="22"/>
          <w:szCs w:val="22"/>
        </w:rPr>
        <w:t xml:space="preserve">, </w:t>
      </w:r>
      <w:proofErr w:type="spellStart"/>
      <w:r w:rsidRPr="006E3709">
        <w:rPr>
          <w:rFonts w:ascii="Arial" w:hAnsi="Arial" w:cs="Arial"/>
          <w:i/>
          <w:color w:val="000000"/>
          <w:sz w:val="22"/>
          <w:szCs w:val="22"/>
        </w:rPr>
        <w:t>Secale</w:t>
      </w:r>
      <w:proofErr w:type="spellEnd"/>
      <w:r w:rsidRPr="006E3709">
        <w:rPr>
          <w:rFonts w:ascii="Arial" w:hAnsi="Arial" w:cs="Arial"/>
          <w:color w:val="000000"/>
          <w:sz w:val="22"/>
          <w:szCs w:val="22"/>
        </w:rPr>
        <w:t xml:space="preserve">, </w:t>
      </w:r>
      <w:proofErr w:type="spellStart"/>
      <w:r w:rsidRPr="006E3709">
        <w:rPr>
          <w:rFonts w:ascii="Arial" w:hAnsi="Arial" w:cs="Arial"/>
          <w:i/>
          <w:color w:val="000000"/>
          <w:sz w:val="22"/>
          <w:szCs w:val="22"/>
        </w:rPr>
        <w:t>Triticum</w:t>
      </w:r>
      <w:proofErr w:type="spellEnd"/>
      <w:r w:rsidRPr="006E3709">
        <w:rPr>
          <w:rFonts w:ascii="Arial" w:hAnsi="Arial" w:cs="Arial"/>
          <w:color w:val="000000"/>
          <w:sz w:val="22"/>
          <w:szCs w:val="22"/>
        </w:rPr>
        <w:t>).</w:t>
      </w:r>
    </w:p>
    <w:p w:rsidR="008933BB" w:rsidRPr="006E3709" w:rsidRDefault="008933BB" w:rsidP="008933BB">
      <w:pPr>
        <w:jc w:val="both"/>
        <w:rPr>
          <w:rFonts w:ascii="Arial" w:hAnsi="Arial" w:cs="Arial"/>
          <w:color w:val="000000"/>
          <w:sz w:val="22"/>
          <w:szCs w:val="22"/>
        </w:rPr>
      </w:pPr>
    </w:p>
    <w:p w:rsidR="006B7C85" w:rsidRPr="006E3709" w:rsidRDefault="006B7C85" w:rsidP="009D1D2D">
      <w:pPr>
        <w:pStyle w:val="Prrafodelista"/>
        <w:numPr>
          <w:ilvl w:val="0"/>
          <w:numId w:val="39"/>
        </w:numPr>
        <w:ind w:left="284" w:hanging="284"/>
        <w:jc w:val="both"/>
        <w:rPr>
          <w:rFonts w:ascii="Arial" w:hAnsi="Arial" w:cs="Arial"/>
          <w:color w:val="000000"/>
          <w:sz w:val="22"/>
          <w:szCs w:val="22"/>
        </w:rPr>
      </w:pPr>
      <w:r w:rsidRPr="006E3709">
        <w:rPr>
          <w:rFonts w:ascii="Arial" w:hAnsi="Arial" w:cs="Arial"/>
          <w:color w:val="000000"/>
          <w:sz w:val="22"/>
          <w:szCs w:val="22"/>
        </w:rPr>
        <w:t xml:space="preserve">Eliminación de la cubierta seminal: </w:t>
      </w:r>
    </w:p>
    <w:p w:rsidR="0091700A" w:rsidRPr="006E3709" w:rsidRDefault="0091700A"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T</w:t>
      </w:r>
      <w:r w:rsidR="006B7C85" w:rsidRPr="006E3709">
        <w:rPr>
          <w:rFonts w:ascii="Arial" w:hAnsi="Arial" w:cs="Arial"/>
          <w:color w:val="000000"/>
          <w:sz w:val="22"/>
          <w:szCs w:val="22"/>
        </w:rPr>
        <w:t>egumentos impermeables (</w:t>
      </w:r>
      <w:proofErr w:type="spellStart"/>
      <w:r w:rsidR="006B7C85" w:rsidRPr="006E3709">
        <w:rPr>
          <w:rFonts w:ascii="Arial" w:hAnsi="Arial" w:cs="Arial"/>
          <w:i/>
          <w:color w:val="000000"/>
          <w:sz w:val="22"/>
          <w:szCs w:val="22"/>
        </w:rPr>
        <w:t>Helianthus</w:t>
      </w:r>
      <w:proofErr w:type="spellEnd"/>
      <w:r w:rsidR="006B7C85" w:rsidRPr="006E3709">
        <w:rPr>
          <w:rFonts w:ascii="Arial" w:hAnsi="Arial" w:cs="Arial"/>
          <w:color w:val="000000"/>
          <w:sz w:val="22"/>
          <w:szCs w:val="22"/>
        </w:rPr>
        <w:t xml:space="preserve"> </w:t>
      </w:r>
      <w:proofErr w:type="spellStart"/>
      <w:r w:rsidR="006B7C85" w:rsidRPr="006E3709">
        <w:rPr>
          <w:rFonts w:ascii="Arial" w:hAnsi="Arial" w:cs="Arial"/>
          <w:color w:val="000000"/>
          <w:sz w:val="22"/>
          <w:szCs w:val="22"/>
        </w:rPr>
        <w:t>spp</w:t>
      </w:r>
      <w:proofErr w:type="spellEnd"/>
      <w:r w:rsidR="006B7C85" w:rsidRPr="006E3709">
        <w:rPr>
          <w:rFonts w:ascii="Arial" w:hAnsi="Arial" w:cs="Arial"/>
          <w:color w:val="000000"/>
          <w:sz w:val="22"/>
          <w:szCs w:val="22"/>
        </w:rPr>
        <w:t xml:space="preserve">.) </w:t>
      </w:r>
    </w:p>
    <w:p w:rsidR="006B7C85" w:rsidRPr="006E3709" w:rsidRDefault="0091700A" w:rsidP="009D1D2D">
      <w:pPr>
        <w:pStyle w:val="Prrafodelista"/>
        <w:numPr>
          <w:ilvl w:val="0"/>
          <w:numId w:val="40"/>
        </w:numPr>
        <w:ind w:left="284" w:hanging="284"/>
        <w:jc w:val="both"/>
        <w:rPr>
          <w:rFonts w:ascii="Arial" w:hAnsi="Arial" w:cs="Arial"/>
          <w:color w:val="000000"/>
          <w:sz w:val="22"/>
          <w:szCs w:val="22"/>
        </w:rPr>
      </w:pPr>
      <w:r w:rsidRPr="006E3709">
        <w:rPr>
          <w:rFonts w:ascii="Arial" w:hAnsi="Arial" w:cs="Arial"/>
          <w:color w:val="000000"/>
          <w:sz w:val="22"/>
          <w:szCs w:val="22"/>
        </w:rPr>
        <w:t>C</w:t>
      </w:r>
      <w:r w:rsidR="006B7C85" w:rsidRPr="006E3709">
        <w:rPr>
          <w:rFonts w:ascii="Arial" w:hAnsi="Arial" w:cs="Arial"/>
          <w:color w:val="000000"/>
          <w:sz w:val="22"/>
          <w:szCs w:val="22"/>
        </w:rPr>
        <w:t>arozos con paredes duras (</w:t>
      </w:r>
      <w:proofErr w:type="spellStart"/>
      <w:r w:rsidR="006B7C85" w:rsidRPr="006E3709">
        <w:rPr>
          <w:rFonts w:ascii="Arial" w:hAnsi="Arial" w:cs="Arial"/>
          <w:i/>
          <w:color w:val="000000"/>
          <w:sz w:val="22"/>
          <w:szCs w:val="22"/>
        </w:rPr>
        <w:t>Prunus</w:t>
      </w:r>
      <w:proofErr w:type="spellEnd"/>
      <w:r w:rsidR="006B7C85" w:rsidRPr="006E3709">
        <w:rPr>
          <w:rFonts w:ascii="Arial" w:hAnsi="Arial" w:cs="Arial"/>
          <w:color w:val="000000"/>
          <w:sz w:val="22"/>
          <w:szCs w:val="22"/>
        </w:rPr>
        <w:t xml:space="preserve"> </w:t>
      </w:r>
      <w:proofErr w:type="spellStart"/>
      <w:r w:rsidR="006B7C85" w:rsidRPr="006E3709">
        <w:rPr>
          <w:rFonts w:ascii="Arial" w:hAnsi="Arial" w:cs="Arial"/>
          <w:color w:val="000000"/>
          <w:sz w:val="22"/>
          <w:szCs w:val="22"/>
        </w:rPr>
        <w:t>spp</w:t>
      </w:r>
      <w:proofErr w:type="spellEnd"/>
      <w:r w:rsidR="006B7C85" w:rsidRPr="006E3709">
        <w:rPr>
          <w:rFonts w:ascii="Arial" w:hAnsi="Arial" w:cs="Arial"/>
          <w:color w:val="000000"/>
          <w:sz w:val="22"/>
          <w:szCs w:val="22"/>
        </w:rPr>
        <w:t>), romper los carozos, embeber las semillas 18 horas a 20°C, eliminar las cubiertas seminales.</w:t>
      </w:r>
    </w:p>
    <w:p w:rsidR="000727D0" w:rsidRDefault="000727D0" w:rsidP="0081757C">
      <w:pPr>
        <w:jc w:val="both"/>
        <w:rPr>
          <w:rFonts w:ascii="Arial" w:hAnsi="Arial" w:cs="Arial"/>
          <w:color w:val="000000"/>
          <w:sz w:val="22"/>
          <w:szCs w:val="22"/>
        </w:rPr>
      </w:pPr>
    </w:p>
    <w:p w:rsidR="006E3709" w:rsidRDefault="006E3709" w:rsidP="0081757C">
      <w:pPr>
        <w:jc w:val="both"/>
        <w:rPr>
          <w:rFonts w:ascii="Arial" w:hAnsi="Arial" w:cs="Arial"/>
          <w:color w:val="000000"/>
          <w:sz w:val="22"/>
          <w:szCs w:val="22"/>
        </w:rPr>
      </w:pPr>
    </w:p>
    <w:p w:rsidR="0052516E" w:rsidRDefault="0052516E" w:rsidP="0081757C">
      <w:pPr>
        <w:jc w:val="both"/>
        <w:rPr>
          <w:rFonts w:ascii="Arial" w:hAnsi="Arial" w:cs="Arial"/>
          <w:color w:val="000000"/>
          <w:sz w:val="22"/>
          <w:szCs w:val="22"/>
        </w:rPr>
      </w:pPr>
    </w:p>
    <w:p w:rsidR="0052516E" w:rsidRDefault="0052516E" w:rsidP="0081757C">
      <w:pPr>
        <w:jc w:val="both"/>
        <w:rPr>
          <w:rFonts w:ascii="Arial" w:hAnsi="Arial" w:cs="Arial"/>
          <w:color w:val="000000"/>
          <w:sz w:val="22"/>
          <w:szCs w:val="22"/>
        </w:rPr>
      </w:pPr>
    </w:p>
    <w:p w:rsidR="0052516E" w:rsidRPr="006E3709" w:rsidRDefault="0052516E" w:rsidP="0081757C">
      <w:pPr>
        <w:jc w:val="both"/>
        <w:rPr>
          <w:rFonts w:ascii="Arial" w:hAnsi="Arial" w:cs="Arial"/>
          <w:color w:val="000000"/>
          <w:sz w:val="22"/>
          <w:szCs w:val="22"/>
        </w:rPr>
      </w:pPr>
    </w:p>
    <w:p w:rsidR="0091700A" w:rsidRPr="006E3709" w:rsidRDefault="0091700A" w:rsidP="000727D0">
      <w:pPr>
        <w:ind w:hanging="426"/>
        <w:jc w:val="both"/>
        <w:rPr>
          <w:rFonts w:ascii="Arial" w:hAnsi="Arial" w:cs="Arial"/>
          <w:b/>
          <w:color w:val="000000"/>
          <w:sz w:val="22"/>
          <w:szCs w:val="22"/>
        </w:rPr>
      </w:pPr>
      <w:r w:rsidRPr="006E3709">
        <w:rPr>
          <w:rFonts w:ascii="Arial" w:hAnsi="Arial" w:cs="Arial"/>
          <w:b/>
          <w:color w:val="000000"/>
          <w:sz w:val="22"/>
          <w:szCs w:val="22"/>
        </w:rPr>
        <w:lastRenderedPageBreak/>
        <w:t xml:space="preserve">5.5.3 </w:t>
      </w:r>
      <w:r w:rsidR="006B7C85" w:rsidRPr="006E3709">
        <w:rPr>
          <w:rFonts w:ascii="Arial" w:hAnsi="Arial" w:cs="Arial"/>
          <w:b/>
          <w:color w:val="000000"/>
          <w:sz w:val="22"/>
          <w:szCs w:val="22"/>
        </w:rPr>
        <w:t xml:space="preserve">Tinción </w:t>
      </w:r>
    </w:p>
    <w:p w:rsidR="000727D0" w:rsidRPr="006E3709" w:rsidRDefault="000727D0" w:rsidP="000727D0">
      <w:pPr>
        <w:ind w:hanging="426"/>
        <w:jc w:val="both"/>
        <w:rPr>
          <w:rFonts w:ascii="Arial" w:hAnsi="Arial" w:cs="Arial"/>
          <w:b/>
          <w:color w:val="000000"/>
          <w:sz w:val="22"/>
          <w:szCs w:val="22"/>
        </w:rPr>
      </w:pPr>
    </w:p>
    <w:p w:rsidR="006B7C85" w:rsidRPr="006E3709" w:rsidRDefault="006B7C85" w:rsidP="000727D0">
      <w:pPr>
        <w:ind w:left="-426"/>
        <w:jc w:val="both"/>
        <w:rPr>
          <w:rFonts w:ascii="Arial" w:hAnsi="Arial" w:cs="Arial"/>
          <w:color w:val="000000"/>
          <w:sz w:val="22"/>
          <w:szCs w:val="22"/>
        </w:rPr>
      </w:pPr>
      <w:r w:rsidRPr="006E3709">
        <w:rPr>
          <w:rFonts w:ascii="Arial" w:hAnsi="Arial" w:cs="Arial"/>
          <w:color w:val="000000"/>
          <w:sz w:val="22"/>
          <w:szCs w:val="22"/>
        </w:rPr>
        <w:t>En la Tabla 6A Par</w:t>
      </w:r>
      <w:r w:rsidR="008933BB" w:rsidRPr="006E3709">
        <w:rPr>
          <w:rFonts w:ascii="Arial" w:hAnsi="Arial" w:cs="Arial"/>
          <w:color w:val="000000"/>
          <w:sz w:val="22"/>
          <w:szCs w:val="22"/>
        </w:rPr>
        <w:t>te 1 y 2, Columna 4 y 5 del Capítulo</w:t>
      </w:r>
      <w:r w:rsidRPr="006E3709">
        <w:rPr>
          <w:rFonts w:ascii="Arial" w:hAnsi="Arial" w:cs="Arial"/>
          <w:color w:val="000000"/>
          <w:sz w:val="22"/>
          <w:szCs w:val="22"/>
        </w:rPr>
        <w:t xml:space="preserve"> 6 de la Regla ISTA se </w:t>
      </w:r>
      <w:r w:rsidR="00FB1F93" w:rsidRPr="006E3709">
        <w:rPr>
          <w:rFonts w:ascii="Arial" w:hAnsi="Arial" w:cs="Arial"/>
          <w:color w:val="000000"/>
          <w:sz w:val="22"/>
          <w:szCs w:val="22"/>
        </w:rPr>
        <w:t xml:space="preserve">establece la concentración de la solución de tinción y </w:t>
      </w:r>
      <w:r w:rsidRPr="006E3709">
        <w:rPr>
          <w:rFonts w:ascii="Arial" w:hAnsi="Arial" w:cs="Arial"/>
          <w:color w:val="000000"/>
          <w:sz w:val="22"/>
          <w:szCs w:val="22"/>
        </w:rPr>
        <w:t>los tiempos</w:t>
      </w:r>
      <w:r w:rsidR="00FB1F93" w:rsidRPr="006E3709">
        <w:rPr>
          <w:rFonts w:ascii="Arial" w:hAnsi="Arial" w:cs="Arial"/>
          <w:color w:val="000000"/>
          <w:sz w:val="22"/>
          <w:szCs w:val="22"/>
        </w:rPr>
        <w:t xml:space="preserve"> óptimos</w:t>
      </w:r>
      <w:r w:rsidRPr="006E3709">
        <w:rPr>
          <w:rFonts w:ascii="Arial" w:hAnsi="Arial" w:cs="Arial"/>
          <w:color w:val="000000"/>
          <w:sz w:val="22"/>
          <w:szCs w:val="22"/>
        </w:rPr>
        <w:t xml:space="preserve"> de tinción </w:t>
      </w:r>
      <w:r w:rsidR="00FB1F93" w:rsidRPr="006E3709">
        <w:rPr>
          <w:rFonts w:ascii="Arial" w:hAnsi="Arial" w:cs="Arial"/>
          <w:color w:val="000000"/>
          <w:sz w:val="22"/>
          <w:szCs w:val="22"/>
        </w:rPr>
        <w:t>para cada especie.</w:t>
      </w:r>
    </w:p>
    <w:p w:rsidR="0091700A" w:rsidRPr="006E3709" w:rsidRDefault="0091700A" w:rsidP="000727D0">
      <w:pPr>
        <w:ind w:left="-426"/>
        <w:jc w:val="both"/>
        <w:rPr>
          <w:rFonts w:ascii="Arial" w:hAnsi="Arial" w:cs="Arial"/>
          <w:b/>
          <w:color w:val="000000"/>
          <w:sz w:val="22"/>
          <w:szCs w:val="22"/>
        </w:rPr>
      </w:pPr>
    </w:p>
    <w:p w:rsidR="006B7C85" w:rsidRPr="006E3709" w:rsidRDefault="0081757C" w:rsidP="000727D0">
      <w:pPr>
        <w:ind w:left="-426"/>
        <w:jc w:val="both"/>
        <w:rPr>
          <w:rFonts w:ascii="Arial" w:hAnsi="Arial" w:cs="Arial"/>
          <w:color w:val="000000"/>
          <w:sz w:val="22"/>
          <w:szCs w:val="22"/>
        </w:rPr>
      </w:pPr>
      <w:r w:rsidRPr="006E3709">
        <w:rPr>
          <w:rFonts w:ascii="Arial" w:hAnsi="Arial" w:cs="Arial"/>
          <w:b/>
          <w:color w:val="000000"/>
          <w:sz w:val="22"/>
          <w:szCs w:val="22"/>
        </w:rPr>
        <w:t>Nota 6:</w:t>
      </w:r>
      <w:r w:rsidR="006B7C85" w:rsidRPr="006E3709">
        <w:rPr>
          <w:rFonts w:ascii="Arial" w:hAnsi="Arial" w:cs="Arial"/>
          <w:b/>
          <w:color w:val="000000"/>
          <w:sz w:val="22"/>
          <w:szCs w:val="22"/>
        </w:rPr>
        <w:t xml:space="preserve"> </w:t>
      </w:r>
      <w:r w:rsidR="006B7C85" w:rsidRPr="006E3709">
        <w:rPr>
          <w:rFonts w:ascii="Arial" w:hAnsi="Arial" w:cs="Arial"/>
          <w:color w:val="000000"/>
          <w:sz w:val="22"/>
          <w:szCs w:val="22"/>
        </w:rPr>
        <w:t>Las temperaturas de tinción utilizadas pueden desviarse de las dadas en la Tabla 6A del capítulo 6 de las Reglas ISTA, pero deben estar dentro del ran</w:t>
      </w:r>
      <w:r w:rsidR="006B7C85" w:rsidRPr="006E3709">
        <w:rPr>
          <w:rFonts w:ascii="Arial" w:hAnsi="Arial" w:cs="Arial"/>
          <w:color w:val="000000"/>
          <w:sz w:val="22"/>
          <w:szCs w:val="22"/>
        </w:rPr>
        <w:softHyphen/>
        <w:t>go de 20 - 40 °C. Si no se usa la temperatura de tinción óp</w:t>
      </w:r>
      <w:r w:rsidR="006B7C85" w:rsidRPr="006E3709">
        <w:rPr>
          <w:rFonts w:ascii="Arial" w:hAnsi="Arial" w:cs="Arial"/>
          <w:color w:val="000000"/>
          <w:sz w:val="22"/>
          <w:szCs w:val="22"/>
        </w:rPr>
        <w:softHyphen/>
        <w:t>tima de 30 °C, entonces se deben hacer los ajustes adecua</w:t>
      </w:r>
      <w:r w:rsidR="006B7C85" w:rsidRPr="006E3709">
        <w:rPr>
          <w:rFonts w:ascii="Arial" w:hAnsi="Arial" w:cs="Arial"/>
          <w:color w:val="000000"/>
          <w:sz w:val="22"/>
          <w:szCs w:val="22"/>
        </w:rPr>
        <w:softHyphen/>
        <w:t>dos en la duración de la tinción sabiendo que un aumento/disminución de 5 °C en la óptima de 30 °C reduce/aumenta el tiempo de tinción a la mitad.</w:t>
      </w:r>
    </w:p>
    <w:p w:rsidR="0091700A" w:rsidRPr="006E3709" w:rsidRDefault="0091700A" w:rsidP="000727D0">
      <w:pPr>
        <w:ind w:left="-426"/>
        <w:jc w:val="both"/>
        <w:rPr>
          <w:rFonts w:ascii="Arial" w:hAnsi="Arial" w:cs="Arial"/>
          <w:b/>
          <w:color w:val="000000"/>
          <w:sz w:val="22"/>
          <w:szCs w:val="22"/>
        </w:rPr>
      </w:pPr>
    </w:p>
    <w:p w:rsidR="006B7C85" w:rsidRPr="006E3709" w:rsidRDefault="0081757C" w:rsidP="000727D0">
      <w:pPr>
        <w:ind w:left="-426"/>
        <w:jc w:val="both"/>
        <w:rPr>
          <w:rFonts w:ascii="Arial" w:hAnsi="Arial" w:cs="Arial"/>
          <w:color w:val="000000"/>
          <w:sz w:val="22"/>
          <w:szCs w:val="22"/>
        </w:rPr>
      </w:pPr>
      <w:r w:rsidRPr="006E3709">
        <w:rPr>
          <w:rFonts w:ascii="Arial" w:hAnsi="Arial" w:cs="Arial"/>
          <w:b/>
          <w:color w:val="000000"/>
          <w:sz w:val="22"/>
          <w:szCs w:val="22"/>
        </w:rPr>
        <w:t>Nota 7</w:t>
      </w:r>
      <w:r w:rsidR="006B7C85" w:rsidRPr="006E3709">
        <w:rPr>
          <w:rFonts w:ascii="Arial" w:hAnsi="Arial" w:cs="Arial"/>
          <w:b/>
          <w:color w:val="000000"/>
          <w:sz w:val="22"/>
          <w:szCs w:val="22"/>
        </w:rPr>
        <w:t>:</w:t>
      </w:r>
      <w:r w:rsidR="006B7C85" w:rsidRPr="006E3709">
        <w:rPr>
          <w:rFonts w:ascii="Arial" w:hAnsi="Arial" w:cs="Arial"/>
          <w:color w:val="000000"/>
          <w:sz w:val="22"/>
          <w:szCs w:val="22"/>
        </w:rPr>
        <w:t xml:space="preserve"> </w:t>
      </w:r>
      <w:r w:rsidR="0091700A" w:rsidRPr="006E3709">
        <w:rPr>
          <w:rFonts w:ascii="Arial" w:hAnsi="Arial" w:cs="Arial"/>
          <w:color w:val="000000"/>
          <w:sz w:val="22"/>
          <w:szCs w:val="22"/>
        </w:rPr>
        <w:t>Se debe c</w:t>
      </w:r>
      <w:r w:rsidR="006B7C85" w:rsidRPr="006E3709">
        <w:rPr>
          <w:rFonts w:ascii="Arial" w:hAnsi="Arial" w:cs="Arial"/>
          <w:color w:val="000000"/>
          <w:sz w:val="22"/>
          <w:szCs w:val="22"/>
        </w:rPr>
        <w:t>ubrir completamente las semillas con la solución de tetrazolio y dejarlas en oscuridad para que no haya reducción de la sal de tetrazolio.</w:t>
      </w:r>
    </w:p>
    <w:p w:rsidR="006B7C85" w:rsidRPr="006E3709" w:rsidRDefault="006B7C85" w:rsidP="006B7C85">
      <w:pPr>
        <w:jc w:val="both"/>
        <w:rPr>
          <w:rFonts w:ascii="Arial" w:hAnsi="Arial" w:cs="Arial"/>
          <w:color w:val="000000"/>
          <w:sz w:val="22"/>
          <w:szCs w:val="22"/>
        </w:rPr>
      </w:pPr>
    </w:p>
    <w:p w:rsidR="006B7C85" w:rsidRPr="006E3709" w:rsidRDefault="00F46FDC" w:rsidP="000727D0">
      <w:pPr>
        <w:ind w:hanging="426"/>
        <w:jc w:val="both"/>
        <w:rPr>
          <w:rFonts w:ascii="Arial" w:hAnsi="Arial" w:cs="Arial"/>
          <w:b/>
          <w:color w:val="000000"/>
          <w:sz w:val="22"/>
          <w:szCs w:val="22"/>
        </w:rPr>
      </w:pPr>
      <w:r w:rsidRPr="006E3709">
        <w:rPr>
          <w:rFonts w:ascii="Arial" w:hAnsi="Arial" w:cs="Arial"/>
          <w:b/>
          <w:color w:val="000000"/>
          <w:sz w:val="22"/>
          <w:szCs w:val="22"/>
        </w:rPr>
        <w:t xml:space="preserve">5.5.4 </w:t>
      </w:r>
      <w:r w:rsidR="006B7C85" w:rsidRPr="006E3709">
        <w:rPr>
          <w:rFonts w:ascii="Arial" w:hAnsi="Arial" w:cs="Arial"/>
          <w:b/>
          <w:color w:val="000000"/>
          <w:sz w:val="22"/>
          <w:szCs w:val="22"/>
        </w:rPr>
        <w:t>Evaluación</w:t>
      </w:r>
    </w:p>
    <w:p w:rsidR="0091700A" w:rsidRPr="006E3709" w:rsidRDefault="0091700A" w:rsidP="006B7C85">
      <w:pPr>
        <w:jc w:val="both"/>
        <w:rPr>
          <w:rFonts w:ascii="Arial" w:hAnsi="Arial" w:cs="Arial"/>
          <w:color w:val="000000"/>
          <w:sz w:val="22"/>
          <w:szCs w:val="22"/>
        </w:rPr>
      </w:pPr>
    </w:p>
    <w:p w:rsidR="006B7C85" w:rsidRPr="006E3709" w:rsidRDefault="008A7456" w:rsidP="000727D0">
      <w:pPr>
        <w:ind w:left="-426"/>
        <w:jc w:val="both"/>
        <w:rPr>
          <w:rFonts w:ascii="Arial" w:hAnsi="Arial" w:cs="Arial"/>
          <w:color w:val="000000"/>
          <w:sz w:val="22"/>
          <w:szCs w:val="22"/>
        </w:rPr>
      </w:pPr>
      <w:r w:rsidRPr="006E3709">
        <w:rPr>
          <w:rFonts w:ascii="Arial" w:hAnsi="Arial" w:cs="Arial"/>
          <w:color w:val="000000"/>
          <w:sz w:val="22"/>
          <w:szCs w:val="22"/>
        </w:rPr>
        <w:t>Se debe e</w:t>
      </w:r>
      <w:r w:rsidR="006B7C85" w:rsidRPr="006E3709">
        <w:rPr>
          <w:rFonts w:ascii="Arial" w:hAnsi="Arial" w:cs="Arial"/>
          <w:color w:val="000000"/>
          <w:sz w:val="22"/>
          <w:szCs w:val="22"/>
        </w:rPr>
        <w:t>valuar los tejidos seminales que ocasionan la emergencia y desarrollo de una plántula normal usando patrones de tinción y viendo la tonalidad de los mismos de acuerdo a la especie siguiendo las recomendaciones de la Tabla 6 A Par</w:t>
      </w:r>
      <w:r w:rsidR="00FB1F93" w:rsidRPr="006E3709">
        <w:rPr>
          <w:rFonts w:ascii="Arial" w:hAnsi="Arial" w:cs="Arial"/>
          <w:color w:val="000000"/>
          <w:sz w:val="22"/>
          <w:szCs w:val="22"/>
        </w:rPr>
        <w:t xml:space="preserve">te 1 y 2, Columna 7 del Capítulo </w:t>
      </w:r>
      <w:r w:rsidR="0091700A" w:rsidRPr="006E3709">
        <w:rPr>
          <w:rFonts w:ascii="Arial" w:hAnsi="Arial" w:cs="Arial"/>
          <w:color w:val="000000"/>
          <w:sz w:val="22"/>
          <w:szCs w:val="22"/>
        </w:rPr>
        <w:t xml:space="preserve">6 </w:t>
      </w:r>
      <w:r w:rsidR="006B7C85" w:rsidRPr="006E3709">
        <w:rPr>
          <w:rFonts w:ascii="Arial" w:hAnsi="Arial" w:cs="Arial"/>
          <w:color w:val="000000"/>
          <w:sz w:val="22"/>
          <w:szCs w:val="22"/>
        </w:rPr>
        <w:t>de la Regla ISTA.</w:t>
      </w:r>
    </w:p>
    <w:p w:rsidR="0091700A" w:rsidRPr="006E3709" w:rsidRDefault="0091700A" w:rsidP="000727D0">
      <w:pPr>
        <w:ind w:left="-426"/>
        <w:jc w:val="both"/>
        <w:rPr>
          <w:rFonts w:ascii="Arial" w:hAnsi="Arial" w:cs="Arial"/>
          <w:color w:val="000000"/>
          <w:sz w:val="22"/>
          <w:szCs w:val="22"/>
        </w:rPr>
      </w:pPr>
    </w:p>
    <w:p w:rsidR="006B7C85" w:rsidRPr="006E3709" w:rsidRDefault="006B7C85" w:rsidP="000727D0">
      <w:pPr>
        <w:ind w:left="-426"/>
        <w:jc w:val="both"/>
        <w:rPr>
          <w:rFonts w:ascii="Arial" w:hAnsi="Arial" w:cs="Arial"/>
          <w:color w:val="000000"/>
          <w:sz w:val="22"/>
          <w:szCs w:val="22"/>
        </w:rPr>
      </w:pPr>
      <w:r w:rsidRPr="006E3709">
        <w:rPr>
          <w:rFonts w:ascii="Arial" w:hAnsi="Arial" w:cs="Arial"/>
          <w:color w:val="000000"/>
          <w:sz w:val="22"/>
          <w:szCs w:val="22"/>
        </w:rPr>
        <w:t>Las semillas son separadas en semillas viables y no viables.</w:t>
      </w:r>
    </w:p>
    <w:p w:rsidR="006B7C85" w:rsidRPr="006E3709" w:rsidRDefault="006B7C85" w:rsidP="000727D0">
      <w:pPr>
        <w:ind w:left="-426"/>
        <w:jc w:val="both"/>
        <w:rPr>
          <w:rFonts w:ascii="Arial" w:hAnsi="Arial" w:cs="Arial"/>
          <w:b/>
          <w:color w:val="000000"/>
          <w:sz w:val="22"/>
          <w:szCs w:val="22"/>
        </w:rPr>
      </w:pPr>
    </w:p>
    <w:p w:rsidR="006B7C85" w:rsidRPr="006E3709" w:rsidRDefault="006B7C85" w:rsidP="000727D0">
      <w:pPr>
        <w:ind w:left="-426"/>
        <w:jc w:val="both"/>
        <w:rPr>
          <w:rFonts w:ascii="Arial" w:hAnsi="Arial" w:cs="Arial"/>
          <w:color w:val="000000"/>
          <w:sz w:val="22"/>
          <w:szCs w:val="22"/>
        </w:rPr>
      </w:pPr>
      <w:r w:rsidRPr="006E3709">
        <w:rPr>
          <w:rFonts w:ascii="Arial" w:hAnsi="Arial" w:cs="Arial"/>
          <w:b/>
          <w:color w:val="000000"/>
          <w:sz w:val="22"/>
          <w:szCs w:val="22"/>
        </w:rPr>
        <w:t xml:space="preserve">Nota </w:t>
      </w:r>
      <w:r w:rsidR="0081757C" w:rsidRPr="006E3709">
        <w:rPr>
          <w:rFonts w:ascii="Arial" w:hAnsi="Arial" w:cs="Arial"/>
          <w:b/>
          <w:color w:val="000000"/>
          <w:sz w:val="22"/>
          <w:szCs w:val="22"/>
        </w:rPr>
        <w:t>8</w:t>
      </w:r>
      <w:r w:rsidRPr="006E3709">
        <w:rPr>
          <w:rFonts w:ascii="Arial" w:hAnsi="Arial" w:cs="Arial"/>
          <w:color w:val="000000"/>
          <w:sz w:val="22"/>
          <w:szCs w:val="22"/>
        </w:rPr>
        <w:t>: Durante todos los procesos de análisis de viabilidad al tetrazolio es obligatorio</w:t>
      </w:r>
      <w:r w:rsidRPr="006E3709">
        <w:rPr>
          <w:rFonts w:ascii="Arial" w:hAnsi="Arial" w:cs="Arial"/>
          <w:sz w:val="22"/>
          <w:szCs w:val="22"/>
        </w:rPr>
        <w:t xml:space="preserve"> </w:t>
      </w:r>
      <w:r w:rsidRPr="006E3709">
        <w:rPr>
          <w:rFonts w:ascii="Arial" w:hAnsi="Arial" w:cs="Arial"/>
          <w:color w:val="000000"/>
          <w:sz w:val="22"/>
          <w:szCs w:val="22"/>
        </w:rPr>
        <w:t>para el analista utilizar equipos de protección (tapabocas, guardapolvos y guantes de látex).</w:t>
      </w:r>
    </w:p>
    <w:p w:rsidR="006B7C85" w:rsidRPr="006E3709" w:rsidRDefault="006B7C85" w:rsidP="006B7C85">
      <w:pPr>
        <w:pStyle w:val="Prrafodelista"/>
        <w:tabs>
          <w:tab w:val="left" w:pos="1641"/>
        </w:tabs>
        <w:suppressAutoHyphens w:val="0"/>
        <w:spacing w:after="160" w:line="259" w:lineRule="auto"/>
        <w:ind w:left="426"/>
        <w:contextualSpacing/>
        <w:jc w:val="both"/>
        <w:rPr>
          <w:rFonts w:ascii="Arial" w:hAnsi="Arial" w:cs="Arial"/>
          <w:b/>
          <w:sz w:val="22"/>
          <w:szCs w:val="22"/>
        </w:rPr>
      </w:pPr>
    </w:p>
    <w:p w:rsidR="006B7C85" w:rsidRPr="006E3709" w:rsidRDefault="006B7C85" w:rsidP="000727D0">
      <w:pPr>
        <w:pStyle w:val="Prrafodelista"/>
        <w:numPr>
          <w:ilvl w:val="1"/>
          <w:numId w:val="35"/>
        </w:numPr>
        <w:tabs>
          <w:tab w:val="left" w:pos="1641"/>
        </w:tabs>
        <w:suppressAutoHyphens w:val="0"/>
        <w:spacing w:after="160" w:line="259" w:lineRule="auto"/>
        <w:ind w:left="0" w:hanging="426"/>
        <w:contextualSpacing/>
        <w:jc w:val="both"/>
        <w:rPr>
          <w:rFonts w:ascii="Arial" w:hAnsi="Arial" w:cs="Arial"/>
          <w:b/>
          <w:sz w:val="22"/>
          <w:szCs w:val="22"/>
        </w:rPr>
      </w:pPr>
      <w:r w:rsidRPr="006E3709">
        <w:rPr>
          <w:rFonts w:ascii="Arial" w:hAnsi="Arial" w:cs="Arial"/>
          <w:b/>
          <w:sz w:val="22"/>
          <w:szCs w:val="22"/>
        </w:rPr>
        <w:t>Calculo y expresión de resultados</w:t>
      </w:r>
    </w:p>
    <w:p w:rsidR="00E0760C" w:rsidRPr="006E3709" w:rsidRDefault="00E0760C" w:rsidP="00E0760C">
      <w:pPr>
        <w:pStyle w:val="Prrafodelista"/>
        <w:tabs>
          <w:tab w:val="left" w:pos="1641"/>
        </w:tabs>
        <w:jc w:val="both"/>
        <w:rPr>
          <w:rFonts w:ascii="Arial" w:hAnsi="Arial" w:cs="Arial"/>
          <w:sz w:val="22"/>
          <w:szCs w:val="22"/>
        </w:rPr>
      </w:pPr>
    </w:p>
    <w:p w:rsidR="008A7456" w:rsidRPr="006E3709" w:rsidRDefault="00E0760C" w:rsidP="000727D0">
      <w:pPr>
        <w:ind w:left="-426"/>
        <w:jc w:val="both"/>
        <w:rPr>
          <w:rFonts w:ascii="Arial" w:hAnsi="Arial" w:cs="Arial"/>
          <w:color w:val="000000"/>
          <w:sz w:val="22"/>
          <w:szCs w:val="22"/>
        </w:rPr>
      </w:pPr>
      <w:r w:rsidRPr="006E3709">
        <w:rPr>
          <w:rFonts w:ascii="Arial" w:hAnsi="Arial" w:cs="Arial"/>
          <w:color w:val="000000"/>
          <w:sz w:val="22"/>
          <w:szCs w:val="22"/>
        </w:rPr>
        <w:t>Calcular el porcentaje promedio de semillas viables de las repeticiones redondeado</w:t>
      </w:r>
      <w:r w:rsidR="008A7456" w:rsidRPr="006E3709">
        <w:rPr>
          <w:rFonts w:ascii="Arial" w:hAnsi="Arial" w:cs="Arial"/>
          <w:color w:val="000000"/>
          <w:sz w:val="22"/>
          <w:szCs w:val="22"/>
        </w:rPr>
        <w:t xml:space="preserve"> al número entero más próximo y registrar los datos obtenidos en el BI.</w:t>
      </w:r>
    </w:p>
    <w:p w:rsidR="008A7456" w:rsidRPr="006E3709" w:rsidRDefault="008A7456" w:rsidP="000727D0">
      <w:pPr>
        <w:ind w:left="-426"/>
        <w:jc w:val="both"/>
        <w:rPr>
          <w:rFonts w:ascii="Arial" w:hAnsi="Arial" w:cs="Arial"/>
          <w:color w:val="000000"/>
          <w:sz w:val="22"/>
          <w:szCs w:val="22"/>
        </w:rPr>
      </w:pPr>
    </w:p>
    <w:p w:rsidR="00E0760C" w:rsidRPr="006E3709" w:rsidRDefault="0081757C" w:rsidP="000727D0">
      <w:pPr>
        <w:ind w:left="-426"/>
        <w:jc w:val="both"/>
        <w:rPr>
          <w:rFonts w:ascii="Arial" w:hAnsi="Arial" w:cs="Arial"/>
          <w:b/>
          <w:color w:val="000000"/>
          <w:sz w:val="22"/>
          <w:szCs w:val="22"/>
        </w:rPr>
      </w:pPr>
      <w:r w:rsidRPr="006E3709">
        <w:rPr>
          <w:rFonts w:ascii="Arial" w:hAnsi="Arial" w:cs="Arial"/>
          <w:b/>
          <w:color w:val="000000"/>
          <w:sz w:val="22"/>
          <w:szCs w:val="22"/>
        </w:rPr>
        <w:t>Nota 9</w:t>
      </w:r>
      <w:r w:rsidR="008A7456" w:rsidRPr="006E3709">
        <w:rPr>
          <w:rFonts w:ascii="Arial" w:hAnsi="Arial" w:cs="Arial"/>
          <w:b/>
          <w:color w:val="000000"/>
          <w:sz w:val="22"/>
          <w:szCs w:val="22"/>
        </w:rPr>
        <w:t>:</w:t>
      </w:r>
      <w:r w:rsidR="008A7456" w:rsidRPr="006E3709">
        <w:rPr>
          <w:rFonts w:ascii="Arial" w:hAnsi="Arial" w:cs="Arial"/>
          <w:color w:val="000000"/>
          <w:sz w:val="22"/>
          <w:szCs w:val="22"/>
        </w:rPr>
        <w:t xml:space="preserve"> </w:t>
      </w:r>
      <w:r w:rsidR="00E0760C" w:rsidRPr="006E3709">
        <w:rPr>
          <w:rFonts w:ascii="Arial" w:hAnsi="Arial" w:cs="Arial"/>
          <w:color w:val="000000"/>
          <w:sz w:val="22"/>
          <w:szCs w:val="22"/>
        </w:rPr>
        <w:t>El resultado será correcto si la diferencia entre la repetición más alta y más baja no excede la tolerancia presen</w:t>
      </w:r>
      <w:r w:rsidR="00FF0B59" w:rsidRPr="006E3709">
        <w:rPr>
          <w:rFonts w:ascii="Arial" w:hAnsi="Arial" w:cs="Arial"/>
          <w:color w:val="000000"/>
          <w:sz w:val="22"/>
          <w:szCs w:val="22"/>
        </w:rPr>
        <w:t>tada en la Tabla 6B del Capítulo</w:t>
      </w:r>
      <w:r w:rsidR="008A7456" w:rsidRPr="006E3709">
        <w:rPr>
          <w:rFonts w:ascii="Arial" w:hAnsi="Arial" w:cs="Arial"/>
          <w:color w:val="000000"/>
          <w:sz w:val="22"/>
          <w:szCs w:val="22"/>
        </w:rPr>
        <w:t xml:space="preserve"> 6 </w:t>
      </w:r>
      <w:r w:rsidR="00E0760C" w:rsidRPr="006E3709">
        <w:rPr>
          <w:rFonts w:ascii="Arial" w:hAnsi="Arial" w:cs="Arial"/>
          <w:color w:val="000000"/>
          <w:sz w:val="22"/>
          <w:szCs w:val="22"/>
        </w:rPr>
        <w:t>de la Regla ISTA.</w:t>
      </w:r>
    </w:p>
    <w:p w:rsidR="006B7C85" w:rsidRPr="006E3709" w:rsidRDefault="006B7C85" w:rsidP="000727D0">
      <w:pPr>
        <w:ind w:left="-426"/>
        <w:jc w:val="both"/>
        <w:rPr>
          <w:rFonts w:ascii="Arial" w:hAnsi="Arial" w:cs="Arial"/>
          <w:b/>
          <w:color w:val="000000"/>
          <w:sz w:val="22"/>
          <w:szCs w:val="22"/>
        </w:rPr>
      </w:pPr>
    </w:p>
    <w:p w:rsidR="000A6085" w:rsidRPr="006E3709" w:rsidRDefault="00E0760C" w:rsidP="000727D0">
      <w:pPr>
        <w:ind w:left="-426"/>
        <w:jc w:val="both"/>
        <w:rPr>
          <w:rFonts w:ascii="Arial" w:hAnsi="Arial"/>
          <w:color w:val="000000"/>
          <w:sz w:val="22"/>
          <w:szCs w:val="22"/>
        </w:rPr>
      </w:pPr>
      <w:r w:rsidRPr="006E3709">
        <w:rPr>
          <w:rFonts w:ascii="Arial" w:hAnsi="Arial" w:cs="Arial"/>
          <w:bCs/>
          <w:sz w:val="22"/>
          <w:szCs w:val="22"/>
        </w:rPr>
        <w:t>Una vez finalizado el análisis y llenado el</w:t>
      </w:r>
      <w:r w:rsidR="008A7456" w:rsidRPr="006E3709">
        <w:rPr>
          <w:rFonts w:ascii="Arial" w:hAnsi="Arial" w:cs="Arial"/>
          <w:bCs/>
          <w:sz w:val="22"/>
          <w:szCs w:val="22"/>
        </w:rPr>
        <w:t xml:space="preserve"> BI</w:t>
      </w:r>
      <w:r w:rsidRPr="006E3709">
        <w:rPr>
          <w:rFonts w:ascii="Arial" w:hAnsi="Arial" w:cs="Arial"/>
          <w:bCs/>
          <w:sz w:val="22"/>
          <w:szCs w:val="22"/>
        </w:rPr>
        <w:t xml:space="preserve">, el </w:t>
      </w:r>
      <w:proofErr w:type="spellStart"/>
      <w:r w:rsidRPr="006E3709">
        <w:rPr>
          <w:rFonts w:ascii="Arial" w:hAnsi="Arial" w:cs="Arial"/>
          <w:bCs/>
          <w:sz w:val="22"/>
          <w:szCs w:val="22"/>
        </w:rPr>
        <w:t>TDLSyCV</w:t>
      </w:r>
      <w:proofErr w:type="spellEnd"/>
      <w:r w:rsidRPr="006E3709">
        <w:rPr>
          <w:rFonts w:ascii="Arial" w:hAnsi="Arial" w:cs="Arial"/>
          <w:bCs/>
          <w:sz w:val="22"/>
          <w:szCs w:val="22"/>
        </w:rPr>
        <w:t xml:space="preserve"> deberá hacer entrega del BI al responsable para el llenado del CAS y dejará constancia de la fecha de entrega en el mismo.</w:t>
      </w:r>
    </w:p>
    <w:p w:rsidR="009D4FC0" w:rsidRPr="006E3709" w:rsidRDefault="009D4FC0" w:rsidP="00211311">
      <w:pPr>
        <w:rPr>
          <w:rFonts w:ascii="Arial" w:hAnsi="Arial"/>
          <w:color w:val="000000"/>
          <w:sz w:val="22"/>
          <w:szCs w:val="22"/>
        </w:rPr>
      </w:pPr>
    </w:p>
    <w:p w:rsidR="006B7C85" w:rsidRPr="006E3709" w:rsidRDefault="006B7C85" w:rsidP="000727D0">
      <w:pPr>
        <w:numPr>
          <w:ilvl w:val="0"/>
          <w:numId w:val="2"/>
        </w:numPr>
        <w:tabs>
          <w:tab w:val="clear" w:pos="720"/>
          <w:tab w:val="left" w:pos="284"/>
        </w:tabs>
        <w:ind w:left="0" w:hanging="426"/>
        <w:rPr>
          <w:rFonts w:ascii="Arial" w:hAnsi="Arial" w:cs="Arial"/>
          <w:b/>
          <w:sz w:val="22"/>
          <w:szCs w:val="22"/>
        </w:rPr>
      </w:pPr>
      <w:r w:rsidRPr="006E3709">
        <w:rPr>
          <w:rFonts w:ascii="Arial" w:hAnsi="Arial" w:cs="Arial"/>
          <w:b/>
          <w:sz w:val="22"/>
          <w:szCs w:val="22"/>
        </w:rPr>
        <w:t>CONTROL DE CAMBIOS</w:t>
      </w:r>
    </w:p>
    <w:p w:rsidR="008A7456" w:rsidRPr="006E3709" w:rsidRDefault="008A7456" w:rsidP="008A7456">
      <w:pPr>
        <w:tabs>
          <w:tab w:val="left" w:pos="284"/>
        </w:tabs>
        <w:ind w:left="720"/>
        <w:rPr>
          <w:rFonts w:ascii="Arial" w:hAnsi="Arial"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539"/>
        <w:gridCol w:w="6493"/>
      </w:tblGrid>
      <w:tr w:rsidR="008A7456" w:rsidRPr="006E3709" w:rsidTr="006E3709">
        <w:tc>
          <w:tcPr>
            <w:tcW w:w="1256" w:type="dxa"/>
            <w:shd w:val="clear" w:color="auto" w:fill="auto"/>
            <w:vAlign w:val="center"/>
          </w:tcPr>
          <w:p w:rsidR="008A7456" w:rsidRPr="006E3709" w:rsidRDefault="008A7456" w:rsidP="000E6F6D">
            <w:pPr>
              <w:spacing w:line="360" w:lineRule="auto"/>
              <w:jc w:val="center"/>
              <w:rPr>
                <w:rFonts w:ascii="Arial" w:hAnsi="Arial" w:cs="Arial"/>
                <w:b/>
                <w:sz w:val="22"/>
                <w:szCs w:val="22"/>
              </w:rPr>
            </w:pPr>
            <w:r w:rsidRPr="006E3709">
              <w:rPr>
                <w:rFonts w:ascii="Arial" w:hAnsi="Arial" w:cs="Arial"/>
                <w:b/>
                <w:sz w:val="22"/>
                <w:szCs w:val="22"/>
              </w:rPr>
              <w:t>Ítem</w:t>
            </w:r>
          </w:p>
        </w:tc>
        <w:tc>
          <w:tcPr>
            <w:tcW w:w="1539" w:type="dxa"/>
            <w:shd w:val="clear" w:color="auto" w:fill="auto"/>
            <w:vAlign w:val="center"/>
          </w:tcPr>
          <w:p w:rsidR="008A7456" w:rsidRPr="006E3709" w:rsidRDefault="008A7456" w:rsidP="000E6F6D">
            <w:pPr>
              <w:spacing w:line="360" w:lineRule="auto"/>
              <w:jc w:val="center"/>
              <w:rPr>
                <w:rFonts w:ascii="Arial" w:hAnsi="Arial" w:cs="Arial"/>
                <w:b/>
                <w:sz w:val="22"/>
                <w:szCs w:val="22"/>
              </w:rPr>
            </w:pPr>
            <w:r w:rsidRPr="006E3709">
              <w:rPr>
                <w:rFonts w:ascii="Arial" w:hAnsi="Arial" w:cs="Arial"/>
                <w:b/>
                <w:sz w:val="22"/>
                <w:szCs w:val="22"/>
              </w:rPr>
              <w:t>Página</w:t>
            </w:r>
          </w:p>
        </w:tc>
        <w:tc>
          <w:tcPr>
            <w:tcW w:w="6493" w:type="dxa"/>
            <w:shd w:val="clear" w:color="auto" w:fill="auto"/>
            <w:vAlign w:val="center"/>
          </w:tcPr>
          <w:p w:rsidR="008A7456" w:rsidRPr="006E3709" w:rsidRDefault="008A7456" w:rsidP="000E6F6D">
            <w:pPr>
              <w:spacing w:line="360" w:lineRule="auto"/>
              <w:jc w:val="center"/>
              <w:rPr>
                <w:rFonts w:ascii="Arial" w:hAnsi="Arial" w:cs="Arial"/>
                <w:b/>
                <w:sz w:val="22"/>
                <w:szCs w:val="22"/>
              </w:rPr>
            </w:pPr>
            <w:r w:rsidRPr="006E3709">
              <w:rPr>
                <w:rFonts w:ascii="Arial" w:hAnsi="Arial" w:cs="Arial"/>
                <w:b/>
                <w:sz w:val="22"/>
                <w:szCs w:val="22"/>
              </w:rPr>
              <w:t>Cambios</w:t>
            </w:r>
          </w:p>
        </w:tc>
      </w:tr>
      <w:tr w:rsidR="006E3709" w:rsidRPr="006E3709" w:rsidTr="006E3709">
        <w:tc>
          <w:tcPr>
            <w:tcW w:w="1256" w:type="dxa"/>
            <w:shd w:val="clear" w:color="auto" w:fill="auto"/>
            <w:vAlign w:val="center"/>
          </w:tcPr>
          <w:p w:rsidR="006E3709" w:rsidRPr="006E3709" w:rsidRDefault="006E3709" w:rsidP="006E3709">
            <w:pPr>
              <w:spacing w:line="360" w:lineRule="auto"/>
              <w:jc w:val="center"/>
              <w:rPr>
                <w:rFonts w:ascii="Arial" w:hAnsi="Arial" w:cs="Arial"/>
                <w:sz w:val="22"/>
                <w:szCs w:val="22"/>
              </w:rPr>
            </w:pPr>
            <w:r w:rsidRPr="006E3709">
              <w:rPr>
                <w:rFonts w:ascii="Arial" w:hAnsi="Arial" w:cs="Arial"/>
                <w:sz w:val="22"/>
                <w:szCs w:val="22"/>
              </w:rPr>
              <w:t>NA</w:t>
            </w:r>
          </w:p>
        </w:tc>
        <w:tc>
          <w:tcPr>
            <w:tcW w:w="1539" w:type="dxa"/>
            <w:shd w:val="clear" w:color="auto" w:fill="auto"/>
            <w:vAlign w:val="center"/>
          </w:tcPr>
          <w:p w:rsidR="006E3709" w:rsidRPr="006E3709" w:rsidRDefault="006E3709" w:rsidP="006E3709">
            <w:pPr>
              <w:spacing w:line="360" w:lineRule="auto"/>
              <w:jc w:val="center"/>
              <w:rPr>
                <w:rFonts w:ascii="Arial" w:hAnsi="Arial" w:cs="Arial"/>
                <w:sz w:val="22"/>
                <w:szCs w:val="22"/>
              </w:rPr>
            </w:pPr>
            <w:r w:rsidRPr="006E3709">
              <w:rPr>
                <w:rFonts w:ascii="Arial" w:hAnsi="Arial" w:cs="Arial"/>
                <w:sz w:val="22"/>
                <w:szCs w:val="22"/>
              </w:rPr>
              <w:t>1</w:t>
            </w:r>
          </w:p>
        </w:tc>
        <w:tc>
          <w:tcPr>
            <w:tcW w:w="6493" w:type="dxa"/>
            <w:shd w:val="clear" w:color="auto" w:fill="auto"/>
          </w:tcPr>
          <w:p w:rsidR="006E3709" w:rsidRPr="006E3709" w:rsidRDefault="006E3709" w:rsidP="006E3709">
            <w:pPr>
              <w:jc w:val="both"/>
              <w:rPr>
                <w:rFonts w:ascii="Arial" w:hAnsi="Arial" w:cs="Arial"/>
                <w:sz w:val="22"/>
                <w:szCs w:val="22"/>
              </w:rPr>
            </w:pPr>
            <w:r w:rsidRPr="006E3709">
              <w:rPr>
                <w:rFonts w:ascii="Arial" w:hAnsi="Arial" w:cs="Arial"/>
                <w:sz w:val="22"/>
                <w:szCs w:val="22"/>
              </w:rPr>
              <w:t>Proviene de un Sistema de Gestión de Calidad basado en la Norma NP-ISO/IEC 17025:2018.</w:t>
            </w:r>
          </w:p>
          <w:p w:rsidR="006E3709" w:rsidRPr="006E3709" w:rsidRDefault="006E3709" w:rsidP="006E3709">
            <w:pPr>
              <w:jc w:val="both"/>
              <w:rPr>
                <w:rFonts w:ascii="Arial" w:hAnsi="Arial" w:cs="Arial"/>
                <w:b/>
                <w:sz w:val="22"/>
                <w:szCs w:val="22"/>
              </w:rPr>
            </w:pPr>
            <w:r w:rsidRPr="006E3709">
              <w:rPr>
                <w:rFonts w:ascii="Arial" w:hAnsi="Arial" w:cs="Arial"/>
                <w:sz w:val="22"/>
                <w:szCs w:val="22"/>
              </w:rPr>
              <w:t>La DL adopta el SGCI del SENAVE en cumplimiento de la Resolución SENAVE N° 230/2023 “Control de documentos”, versión 05.</w:t>
            </w:r>
          </w:p>
        </w:tc>
      </w:tr>
    </w:tbl>
    <w:p w:rsidR="006B7C85" w:rsidRPr="006E3709" w:rsidRDefault="006B7C85" w:rsidP="006B7C85">
      <w:pPr>
        <w:tabs>
          <w:tab w:val="left" w:pos="284"/>
        </w:tabs>
        <w:ind w:left="720" w:hanging="720"/>
        <w:rPr>
          <w:rFonts w:ascii="Arial" w:hAnsi="Arial" w:cs="Arial"/>
          <w:b/>
          <w:sz w:val="22"/>
          <w:szCs w:val="22"/>
        </w:rPr>
      </w:pPr>
    </w:p>
    <w:p w:rsidR="001F0762" w:rsidRPr="006E3709" w:rsidRDefault="001F0762" w:rsidP="000727D0">
      <w:pPr>
        <w:numPr>
          <w:ilvl w:val="0"/>
          <w:numId w:val="2"/>
        </w:numPr>
        <w:tabs>
          <w:tab w:val="clear" w:pos="720"/>
          <w:tab w:val="left" w:pos="284"/>
        </w:tabs>
        <w:ind w:left="0" w:hanging="426"/>
        <w:rPr>
          <w:rFonts w:ascii="Arial" w:hAnsi="Arial" w:cs="Arial"/>
          <w:b/>
          <w:sz w:val="22"/>
          <w:szCs w:val="22"/>
        </w:rPr>
      </w:pPr>
      <w:r w:rsidRPr="006E3709">
        <w:rPr>
          <w:rFonts w:ascii="Arial" w:hAnsi="Arial" w:cs="Arial"/>
          <w:b/>
          <w:sz w:val="22"/>
          <w:szCs w:val="22"/>
        </w:rPr>
        <w:t>REFERENCIAS</w:t>
      </w:r>
    </w:p>
    <w:p w:rsidR="001F42AB" w:rsidRPr="006E3709" w:rsidRDefault="001F42AB" w:rsidP="001F42AB">
      <w:pPr>
        <w:ind w:left="720"/>
        <w:rPr>
          <w:rFonts w:ascii="Arial" w:hAnsi="Arial" w:cs="Arial"/>
          <w:b/>
          <w:sz w:val="22"/>
          <w:szCs w:val="22"/>
        </w:rPr>
      </w:pPr>
    </w:p>
    <w:p w:rsidR="00E00D03" w:rsidRPr="006E3709" w:rsidRDefault="00EC3AA7" w:rsidP="00EC3AA7">
      <w:pPr>
        <w:pStyle w:val="Prrafodelista"/>
        <w:numPr>
          <w:ilvl w:val="1"/>
          <w:numId w:val="2"/>
        </w:numPr>
        <w:tabs>
          <w:tab w:val="clear" w:pos="643"/>
          <w:tab w:val="num" w:pos="0"/>
        </w:tabs>
        <w:suppressAutoHyphens w:val="0"/>
        <w:spacing w:after="160" w:line="259" w:lineRule="auto"/>
        <w:ind w:left="0" w:hanging="426"/>
        <w:contextualSpacing/>
        <w:jc w:val="both"/>
        <w:rPr>
          <w:rFonts w:ascii="Arial" w:hAnsi="Arial" w:cs="Arial"/>
          <w:b/>
          <w:sz w:val="22"/>
          <w:szCs w:val="22"/>
        </w:rPr>
      </w:pPr>
      <w:r w:rsidRPr="006E3709">
        <w:rPr>
          <w:rFonts w:ascii="Arial" w:hAnsi="Arial" w:cs="Arial"/>
          <w:sz w:val="22"/>
          <w:szCs w:val="22"/>
          <w:lang w:eastAsia="es-ES"/>
        </w:rPr>
        <w:t xml:space="preserve">Capítulo 6: Análisis bioquímico para viabilidad: el análisis topográfico de tetrazolio, </w:t>
      </w:r>
      <w:r w:rsidR="00E0760C" w:rsidRPr="006E3709">
        <w:rPr>
          <w:rFonts w:ascii="Arial" w:hAnsi="Arial" w:cs="Arial"/>
          <w:sz w:val="22"/>
          <w:szCs w:val="22"/>
          <w:lang w:eastAsia="es-ES"/>
        </w:rPr>
        <w:t>Reglas ISTA vigente</w:t>
      </w:r>
      <w:r w:rsidRPr="006E3709">
        <w:rPr>
          <w:rFonts w:ascii="Arial" w:hAnsi="Arial" w:cs="Arial"/>
          <w:sz w:val="22"/>
          <w:szCs w:val="22"/>
          <w:lang w:eastAsia="es-ES"/>
        </w:rPr>
        <w:t>.</w:t>
      </w:r>
    </w:p>
    <w:p w:rsidR="00E00D03" w:rsidRPr="006E3709" w:rsidRDefault="00E0760C" w:rsidP="00E00D03">
      <w:pPr>
        <w:pStyle w:val="Prrafodelista"/>
        <w:numPr>
          <w:ilvl w:val="1"/>
          <w:numId w:val="2"/>
        </w:numPr>
        <w:tabs>
          <w:tab w:val="clear" w:pos="643"/>
          <w:tab w:val="num" w:pos="0"/>
        </w:tabs>
        <w:suppressAutoHyphens w:val="0"/>
        <w:spacing w:after="160" w:line="259" w:lineRule="auto"/>
        <w:ind w:left="0" w:hanging="426"/>
        <w:contextualSpacing/>
        <w:jc w:val="both"/>
        <w:rPr>
          <w:rFonts w:ascii="Arial" w:hAnsi="Arial" w:cs="Arial"/>
          <w:b/>
          <w:sz w:val="22"/>
          <w:szCs w:val="22"/>
        </w:rPr>
      </w:pPr>
      <w:r w:rsidRPr="006E3709">
        <w:rPr>
          <w:rFonts w:ascii="Arial" w:hAnsi="Arial" w:cs="Arial"/>
          <w:sz w:val="22"/>
          <w:szCs w:val="22"/>
          <w:lang w:val="pt-BR" w:eastAsia="es-ES"/>
        </w:rPr>
        <w:t xml:space="preserve">Manual de </w:t>
      </w:r>
      <w:proofErr w:type="spellStart"/>
      <w:r w:rsidRPr="006E3709">
        <w:rPr>
          <w:rFonts w:ascii="Arial" w:hAnsi="Arial" w:cs="Arial"/>
          <w:sz w:val="22"/>
          <w:szCs w:val="22"/>
          <w:lang w:val="pt-BR" w:eastAsia="es-ES"/>
        </w:rPr>
        <w:t>ensayos</w:t>
      </w:r>
      <w:proofErr w:type="spellEnd"/>
      <w:r w:rsidRPr="006E3709">
        <w:rPr>
          <w:rFonts w:ascii="Arial" w:hAnsi="Arial" w:cs="Arial"/>
          <w:sz w:val="22"/>
          <w:szCs w:val="22"/>
          <w:lang w:val="pt-BR" w:eastAsia="es-ES"/>
        </w:rPr>
        <w:t xml:space="preserve"> al </w:t>
      </w:r>
      <w:proofErr w:type="spellStart"/>
      <w:r w:rsidRPr="006E3709">
        <w:rPr>
          <w:rFonts w:ascii="Arial" w:hAnsi="Arial" w:cs="Arial"/>
          <w:sz w:val="22"/>
          <w:szCs w:val="22"/>
          <w:lang w:val="pt-BR" w:eastAsia="es-ES"/>
        </w:rPr>
        <w:t>tetrazolio</w:t>
      </w:r>
      <w:proofErr w:type="spellEnd"/>
      <w:r w:rsidRPr="006E3709">
        <w:rPr>
          <w:rFonts w:ascii="Arial" w:hAnsi="Arial" w:cs="Arial"/>
          <w:sz w:val="22"/>
          <w:szCs w:val="22"/>
          <w:lang w:val="pt-BR" w:eastAsia="es-ES"/>
        </w:rPr>
        <w:t xml:space="preserve">. Instituto Nacional de </w:t>
      </w:r>
      <w:proofErr w:type="spellStart"/>
      <w:r w:rsidRPr="006E3709">
        <w:rPr>
          <w:rFonts w:ascii="Arial" w:hAnsi="Arial" w:cs="Arial"/>
          <w:sz w:val="22"/>
          <w:szCs w:val="22"/>
          <w:lang w:val="pt-BR" w:eastAsia="es-ES"/>
        </w:rPr>
        <w:t>Semillas</w:t>
      </w:r>
      <w:proofErr w:type="spellEnd"/>
      <w:r w:rsidRPr="006E3709">
        <w:rPr>
          <w:rFonts w:ascii="Arial" w:hAnsi="Arial" w:cs="Arial"/>
          <w:sz w:val="22"/>
          <w:szCs w:val="22"/>
          <w:lang w:val="pt-BR" w:eastAsia="es-ES"/>
        </w:rPr>
        <w:t xml:space="preserve"> y Plantas de </w:t>
      </w:r>
      <w:proofErr w:type="spellStart"/>
      <w:r w:rsidRPr="006E3709">
        <w:rPr>
          <w:rFonts w:ascii="Arial" w:hAnsi="Arial" w:cs="Arial"/>
          <w:sz w:val="22"/>
          <w:szCs w:val="22"/>
          <w:lang w:val="pt-BR" w:eastAsia="es-ES"/>
        </w:rPr>
        <w:t>vivero</w:t>
      </w:r>
      <w:proofErr w:type="spellEnd"/>
      <w:r w:rsidRPr="006E3709">
        <w:rPr>
          <w:rFonts w:ascii="Arial" w:hAnsi="Arial" w:cs="Arial"/>
          <w:sz w:val="22"/>
          <w:szCs w:val="22"/>
          <w:lang w:val="pt-BR" w:eastAsia="es-ES"/>
        </w:rPr>
        <w:t xml:space="preserve">. </w:t>
      </w:r>
      <w:proofErr w:type="spellStart"/>
      <w:r w:rsidRPr="006E3709">
        <w:rPr>
          <w:rFonts w:ascii="Arial" w:hAnsi="Arial" w:cs="Arial"/>
          <w:sz w:val="22"/>
          <w:szCs w:val="22"/>
          <w:lang w:val="pt-BR" w:eastAsia="es-ES"/>
        </w:rPr>
        <w:t>Ministerio</w:t>
      </w:r>
      <w:proofErr w:type="spellEnd"/>
      <w:r w:rsidRPr="006E3709">
        <w:rPr>
          <w:rFonts w:ascii="Arial" w:hAnsi="Arial" w:cs="Arial"/>
          <w:sz w:val="22"/>
          <w:szCs w:val="22"/>
          <w:lang w:val="pt-BR" w:eastAsia="es-ES"/>
        </w:rPr>
        <w:t xml:space="preserve"> de Agricultura de </w:t>
      </w:r>
      <w:proofErr w:type="spellStart"/>
      <w:r w:rsidRPr="006E3709">
        <w:rPr>
          <w:rFonts w:ascii="Arial" w:hAnsi="Arial" w:cs="Arial"/>
          <w:sz w:val="22"/>
          <w:szCs w:val="22"/>
          <w:lang w:val="pt-BR" w:eastAsia="es-ES"/>
        </w:rPr>
        <w:t>España</w:t>
      </w:r>
      <w:proofErr w:type="spellEnd"/>
      <w:r w:rsidRPr="006E3709">
        <w:rPr>
          <w:rFonts w:ascii="Arial" w:hAnsi="Arial" w:cs="Arial"/>
          <w:sz w:val="22"/>
          <w:szCs w:val="22"/>
          <w:lang w:val="pt-BR" w:eastAsia="es-ES"/>
        </w:rPr>
        <w:t>. 1986.</w:t>
      </w:r>
      <w:r w:rsidRPr="006E3709">
        <w:rPr>
          <w:rFonts w:ascii="Arial" w:hAnsi="Arial" w:cs="Arial"/>
          <w:sz w:val="22"/>
          <w:szCs w:val="22"/>
          <w:lang w:val="en-US" w:eastAsia="es-ES"/>
        </w:rPr>
        <w:t xml:space="preserve"> </w:t>
      </w:r>
      <w:r w:rsidRPr="006E3709">
        <w:rPr>
          <w:rFonts w:ascii="Arial" w:hAnsi="Arial" w:cs="Arial"/>
          <w:sz w:val="22"/>
          <w:szCs w:val="22"/>
          <w:lang w:val="en-US"/>
        </w:rPr>
        <w:t xml:space="preserve">   </w:t>
      </w:r>
    </w:p>
    <w:p w:rsidR="006E3709" w:rsidRPr="006E3709" w:rsidRDefault="00E0760C" w:rsidP="006E3709">
      <w:pPr>
        <w:pStyle w:val="Prrafodelista"/>
        <w:numPr>
          <w:ilvl w:val="1"/>
          <w:numId w:val="2"/>
        </w:numPr>
        <w:tabs>
          <w:tab w:val="clear" w:pos="643"/>
          <w:tab w:val="num" w:pos="0"/>
        </w:tabs>
        <w:suppressAutoHyphens w:val="0"/>
        <w:spacing w:after="160" w:line="259" w:lineRule="auto"/>
        <w:ind w:left="0" w:hanging="426"/>
        <w:contextualSpacing/>
        <w:jc w:val="both"/>
        <w:rPr>
          <w:rFonts w:ascii="Arial" w:hAnsi="Arial" w:cs="Arial"/>
          <w:b/>
          <w:sz w:val="22"/>
          <w:szCs w:val="22"/>
          <w:lang w:val="en-US"/>
        </w:rPr>
      </w:pPr>
      <w:r w:rsidRPr="006E3709">
        <w:rPr>
          <w:rFonts w:ascii="Arial" w:hAnsi="Arial" w:cs="Arial"/>
          <w:sz w:val="22"/>
          <w:szCs w:val="22"/>
          <w:lang w:val="en-US"/>
        </w:rPr>
        <w:t xml:space="preserve">ISTA Working Sheets on Tetrazolium Testing Volume – </w:t>
      </w:r>
      <w:proofErr w:type="spellStart"/>
      <w:r w:rsidRPr="006E3709">
        <w:rPr>
          <w:rFonts w:ascii="Arial" w:hAnsi="Arial" w:cs="Arial"/>
          <w:sz w:val="22"/>
          <w:szCs w:val="22"/>
          <w:lang w:val="en-US"/>
        </w:rPr>
        <w:t>Internacional</w:t>
      </w:r>
      <w:proofErr w:type="spellEnd"/>
      <w:r w:rsidRPr="006E3709">
        <w:rPr>
          <w:rFonts w:ascii="Arial" w:hAnsi="Arial" w:cs="Arial"/>
          <w:sz w:val="22"/>
          <w:szCs w:val="22"/>
          <w:lang w:val="en-US"/>
        </w:rPr>
        <w:t xml:space="preserve"> Seed Testing Association (ISTA). 2011.</w:t>
      </w:r>
    </w:p>
    <w:p w:rsidR="006E3709" w:rsidRPr="006E3709" w:rsidRDefault="00E0760C" w:rsidP="006E3709">
      <w:pPr>
        <w:pStyle w:val="Prrafodelista"/>
        <w:numPr>
          <w:ilvl w:val="1"/>
          <w:numId w:val="2"/>
        </w:numPr>
        <w:tabs>
          <w:tab w:val="clear" w:pos="643"/>
          <w:tab w:val="num" w:pos="0"/>
        </w:tabs>
        <w:suppressAutoHyphens w:val="0"/>
        <w:spacing w:after="160" w:line="259" w:lineRule="auto"/>
        <w:ind w:left="0" w:hanging="426"/>
        <w:contextualSpacing/>
        <w:jc w:val="both"/>
        <w:rPr>
          <w:rFonts w:ascii="Arial" w:hAnsi="Arial" w:cs="Arial"/>
          <w:b/>
          <w:sz w:val="22"/>
          <w:szCs w:val="22"/>
          <w:lang w:val="en-US"/>
        </w:rPr>
      </w:pPr>
      <w:r w:rsidRPr="006E3709">
        <w:rPr>
          <w:rFonts w:ascii="Arial" w:hAnsi="Arial" w:cs="Arial"/>
          <w:sz w:val="22"/>
          <w:szCs w:val="22"/>
        </w:rPr>
        <w:t>Manual para evaluación de plántulas en análisis de germinación. Instituto Nacional de Semillas y Plantas de vivero. Ministerio de Agricultura de España. 1980.</w:t>
      </w:r>
      <w:r w:rsidR="006E3709" w:rsidRPr="006E3709">
        <w:rPr>
          <w:rFonts w:ascii="Arial" w:hAnsi="Arial" w:cs="Arial"/>
        </w:rPr>
        <w:t xml:space="preserve"> </w:t>
      </w:r>
    </w:p>
    <w:p w:rsidR="006E3709" w:rsidRPr="006E3709" w:rsidRDefault="006E3709" w:rsidP="006E3709">
      <w:pPr>
        <w:pStyle w:val="Prrafodelista"/>
        <w:numPr>
          <w:ilvl w:val="1"/>
          <w:numId w:val="2"/>
        </w:numPr>
        <w:tabs>
          <w:tab w:val="clear" w:pos="643"/>
          <w:tab w:val="num" w:pos="0"/>
        </w:tabs>
        <w:suppressAutoHyphens w:val="0"/>
        <w:spacing w:line="259" w:lineRule="auto"/>
        <w:ind w:left="0" w:hanging="426"/>
        <w:contextualSpacing/>
        <w:jc w:val="both"/>
        <w:rPr>
          <w:rFonts w:ascii="Arial" w:hAnsi="Arial" w:cs="Arial"/>
          <w:b/>
          <w:sz w:val="22"/>
          <w:szCs w:val="22"/>
        </w:rPr>
      </w:pPr>
      <w:r w:rsidRPr="006E3709">
        <w:rPr>
          <w:rFonts w:ascii="Arial" w:hAnsi="Arial" w:cs="Arial"/>
        </w:rPr>
        <w:lastRenderedPageBreak/>
        <w:t>Resolución SENAVE N°230/2023 “Por la cual se actualiza el procedimiento para control de documentos, para la elaboración, verificación, aprobación y autorización de documentos relacionados al ámbito del sistema de gestión de calidad del Servicio Nacional de Calidad y Sanidad Vegetal y de Semillas y se abroga la Resolución SENAVE N°042/23 de fecha 30 de enero del 2023.</w:t>
      </w:r>
    </w:p>
    <w:p w:rsidR="0091700A" w:rsidRPr="006E3709" w:rsidRDefault="0091700A" w:rsidP="00E0760C">
      <w:pPr>
        <w:jc w:val="both"/>
        <w:rPr>
          <w:rFonts w:ascii="Arial" w:hAnsi="Arial"/>
          <w:color w:val="000000"/>
          <w:sz w:val="22"/>
          <w:szCs w:val="22"/>
          <w:lang w:val="es-PY"/>
        </w:rPr>
      </w:pPr>
    </w:p>
    <w:p w:rsidR="00497D08" w:rsidRPr="006E3709" w:rsidRDefault="009D4FC0" w:rsidP="000727D0">
      <w:pPr>
        <w:numPr>
          <w:ilvl w:val="0"/>
          <w:numId w:val="2"/>
        </w:numPr>
        <w:tabs>
          <w:tab w:val="clear" w:pos="720"/>
          <w:tab w:val="left" w:pos="284"/>
        </w:tabs>
        <w:ind w:left="0" w:hanging="426"/>
        <w:rPr>
          <w:rFonts w:ascii="Arial" w:hAnsi="Arial"/>
          <w:b/>
          <w:color w:val="000000"/>
          <w:sz w:val="22"/>
          <w:szCs w:val="22"/>
        </w:rPr>
      </w:pPr>
      <w:r w:rsidRPr="006E3709">
        <w:rPr>
          <w:rFonts w:ascii="Arial" w:hAnsi="Arial"/>
          <w:b/>
          <w:color w:val="000000"/>
          <w:sz w:val="22"/>
          <w:szCs w:val="22"/>
        </w:rPr>
        <w:t>DOCUMENTOS</w:t>
      </w:r>
    </w:p>
    <w:p w:rsidR="00CA55A3" w:rsidRPr="006E3709" w:rsidRDefault="00CA55A3" w:rsidP="00CA55A3">
      <w:pPr>
        <w:ind w:left="720"/>
        <w:rPr>
          <w:rFonts w:ascii="Arial" w:hAnsi="Arial"/>
          <w:b/>
          <w:color w:val="000000"/>
          <w:sz w:val="22"/>
          <w:szCs w:val="22"/>
        </w:rPr>
      </w:pPr>
    </w:p>
    <w:tbl>
      <w:tblPr>
        <w:tblW w:w="99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03"/>
        <w:gridCol w:w="1060"/>
        <w:gridCol w:w="1586"/>
        <w:gridCol w:w="1669"/>
        <w:gridCol w:w="1463"/>
      </w:tblGrid>
      <w:tr w:rsidR="002A1594" w:rsidRPr="006E3709" w:rsidTr="002A1594">
        <w:trPr>
          <w:trHeight w:val="20"/>
          <w:tblHeader/>
        </w:trPr>
        <w:tc>
          <w:tcPr>
            <w:tcW w:w="2694" w:type="dxa"/>
            <w:vAlign w:val="center"/>
          </w:tcPr>
          <w:p w:rsidR="002A1594" w:rsidRPr="006E3709" w:rsidRDefault="002A1594" w:rsidP="002A1594">
            <w:pPr>
              <w:spacing w:before="120" w:after="120"/>
              <w:jc w:val="center"/>
              <w:rPr>
                <w:rFonts w:ascii="Arial" w:hAnsi="Arial" w:cs="Arial"/>
                <w:b/>
                <w:bCs/>
                <w:sz w:val="20"/>
                <w:szCs w:val="20"/>
              </w:rPr>
            </w:pPr>
            <w:r w:rsidRPr="006E3709">
              <w:rPr>
                <w:rFonts w:ascii="Arial" w:hAnsi="Arial" w:cs="Arial"/>
                <w:b/>
                <w:bCs/>
                <w:sz w:val="20"/>
                <w:szCs w:val="20"/>
              </w:rPr>
              <w:t>Nombre del Registro</w:t>
            </w:r>
          </w:p>
        </w:tc>
        <w:tc>
          <w:tcPr>
            <w:tcW w:w="1503" w:type="dxa"/>
            <w:vAlign w:val="center"/>
          </w:tcPr>
          <w:p w:rsidR="002A1594" w:rsidRPr="006E3709" w:rsidRDefault="002A1594" w:rsidP="002A1594">
            <w:pPr>
              <w:spacing w:before="120" w:after="120"/>
              <w:jc w:val="center"/>
              <w:rPr>
                <w:rFonts w:ascii="Arial" w:hAnsi="Arial" w:cs="Arial"/>
                <w:b/>
                <w:bCs/>
                <w:sz w:val="20"/>
                <w:szCs w:val="20"/>
              </w:rPr>
            </w:pPr>
            <w:r w:rsidRPr="006E3709">
              <w:rPr>
                <w:rFonts w:ascii="Arial" w:hAnsi="Arial" w:cs="Arial"/>
                <w:b/>
                <w:bCs/>
                <w:sz w:val="20"/>
                <w:szCs w:val="20"/>
              </w:rPr>
              <w:t>Formulario</w:t>
            </w:r>
          </w:p>
        </w:tc>
        <w:tc>
          <w:tcPr>
            <w:tcW w:w="1060" w:type="dxa"/>
            <w:vAlign w:val="center"/>
          </w:tcPr>
          <w:p w:rsidR="002A1594" w:rsidRPr="006E3709" w:rsidRDefault="002A1594" w:rsidP="002A1594">
            <w:pPr>
              <w:spacing w:before="120" w:after="120"/>
              <w:jc w:val="center"/>
              <w:rPr>
                <w:rFonts w:ascii="Arial" w:hAnsi="Arial" w:cs="Arial"/>
                <w:b/>
                <w:bCs/>
                <w:sz w:val="20"/>
                <w:szCs w:val="20"/>
              </w:rPr>
            </w:pPr>
            <w:r w:rsidRPr="006E3709">
              <w:rPr>
                <w:rFonts w:ascii="Arial" w:hAnsi="Arial" w:cs="Arial"/>
                <w:b/>
                <w:bCs/>
                <w:sz w:val="20"/>
                <w:szCs w:val="20"/>
              </w:rPr>
              <w:t>Área de archivo</w:t>
            </w:r>
          </w:p>
        </w:tc>
        <w:tc>
          <w:tcPr>
            <w:tcW w:w="1586" w:type="dxa"/>
            <w:vAlign w:val="center"/>
          </w:tcPr>
          <w:p w:rsidR="002A1594" w:rsidRPr="006E3709" w:rsidRDefault="002A1594" w:rsidP="002A1594">
            <w:pPr>
              <w:spacing w:before="120" w:after="120"/>
              <w:jc w:val="center"/>
              <w:rPr>
                <w:rFonts w:ascii="Arial" w:hAnsi="Arial" w:cs="Arial"/>
                <w:b/>
                <w:bCs/>
                <w:sz w:val="20"/>
                <w:szCs w:val="20"/>
              </w:rPr>
            </w:pPr>
            <w:r w:rsidRPr="006E3709">
              <w:rPr>
                <w:rFonts w:ascii="Arial" w:hAnsi="Arial" w:cs="Arial"/>
                <w:b/>
                <w:bCs/>
                <w:sz w:val="20"/>
                <w:szCs w:val="20"/>
              </w:rPr>
              <w:t>Responsable</w:t>
            </w:r>
          </w:p>
        </w:tc>
        <w:tc>
          <w:tcPr>
            <w:tcW w:w="1669" w:type="dxa"/>
            <w:vAlign w:val="center"/>
          </w:tcPr>
          <w:p w:rsidR="002A1594" w:rsidRPr="006E3709" w:rsidRDefault="002A1594" w:rsidP="002A1594">
            <w:pPr>
              <w:spacing w:before="120" w:after="120"/>
              <w:jc w:val="center"/>
              <w:rPr>
                <w:rFonts w:ascii="Arial" w:hAnsi="Arial" w:cs="Arial"/>
                <w:b/>
                <w:bCs/>
                <w:sz w:val="20"/>
                <w:szCs w:val="20"/>
              </w:rPr>
            </w:pPr>
            <w:r w:rsidRPr="006E3709">
              <w:rPr>
                <w:rFonts w:ascii="Arial" w:hAnsi="Arial" w:cs="Arial"/>
                <w:b/>
                <w:bCs/>
                <w:sz w:val="20"/>
                <w:szCs w:val="20"/>
              </w:rPr>
              <w:t>Tiempo de retención por dependencia</w:t>
            </w:r>
          </w:p>
        </w:tc>
        <w:tc>
          <w:tcPr>
            <w:tcW w:w="1463" w:type="dxa"/>
            <w:vAlign w:val="center"/>
          </w:tcPr>
          <w:p w:rsidR="002A1594" w:rsidRPr="006E3709" w:rsidRDefault="002A1594" w:rsidP="002A1594">
            <w:pPr>
              <w:spacing w:before="120" w:after="120"/>
              <w:jc w:val="center"/>
              <w:rPr>
                <w:rFonts w:ascii="Arial" w:hAnsi="Arial" w:cs="Arial"/>
                <w:b/>
                <w:bCs/>
                <w:sz w:val="20"/>
                <w:szCs w:val="20"/>
              </w:rPr>
            </w:pPr>
            <w:r w:rsidRPr="006E3709">
              <w:rPr>
                <w:rFonts w:ascii="Arial" w:hAnsi="Arial" w:cs="Arial"/>
                <w:b/>
                <w:bCs/>
                <w:sz w:val="20"/>
                <w:szCs w:val="20"/>
              </w:rPr>
              <w:t>Disposición final</w:t>
            </w:r>
          </w:p>
        </w:tc>
      </w:tr>
      <w:tr w:rsidR="002A1594" w:rsidRPr="006E3709" w:rsidTr="002A1594">
        <w:trPr>
          <w:trHeight w:val="20"/>
        </w:trPr>
        <w:tc>
          <w:tcPr>
            <w:tcW w:w="2694" w:type="dxa"/>
            <w:vAlign w:val="center"/>
          </w:tcPr>
          <w:p w:rsidR="002A1594" w:rsidRPr="006E3709" w:rsidRDefault="002A1594" w:rsidP="009D4FC0">
            <w:pPr>
              <w:spacing w:before="120"/>
              <w:rPr>
                <w:rFonts w:ascii="Arial" w:hAnsi="Arial" w:cs="Arial"/>
                <w:sz w:val="20"/>
                <w:szCs w:val="20"/>
              </w:rPr>
            </w:pPr>
            <w:r w:rsidRPr="006E3709">
              <w:rPr>
                <w:rFonts w:ascii="Arial" w:hAnsi="Arial" w:cs="Arial"/>
                <w:color w:val="000000"/>
                <w:sz w:val="20"/>
                <w:szCs w:val="20"/>
              </w:rPr>
              <w:t>Etiqueta de Identificación de Solución de Trabajo.</w:t>
            </w:r>
          </w:p>
        </w:tc>
        <w:tc>
          <w:tcPr>
            <w:tcW w:w="1503" w:type="dxa"/>
            <w:vAlign w:val="center"/>
          </w:tcPr>
          <w:p w:rsidR="002A1594" w:rsidRPr="006E3709" w:rsidRDefault="002A1594" w:rsidP="00AE5968">
            <w:pPr>
              <w:spacing w:before="120" w:after="120"/>
              <w:jc w:val="center"/>
              <w:rPr>
                <w:rFonts w:ascii="Arial" w:hAnsi="Arial" w:cs="Arial"/>
                <w:sz w:val="20"/>
                <w:szCs w:val="20"/>
              </w:rPr>
            </w:pPr>
            <w:r w:rsidRPr="006E3709">
              <w:rPr>
                <w:rFonts w:ascii="Arial" w:hAnsi="Arial"/>
                <w:color w:val="000000"/>
                <w:sz w:val="20"/>
                <w:szCs w:val="20"/>
              </w:rPr>
              <w:t>FOR-DLSyCV-5</w:t>
            </w:r>
            <w:r w:rsidR="00EC3EEE" w:rsidRPr="006E3709">
              <w:rPr>
                <w:rFonts w:ascii="Arial" w:hAnsi="Arial"/>
                <w:color w:val="000000"/>
                <w:sz w:val="20"/>
                <w:szCs w:val="20"/>
              </w:rPr>
              <w:t>27</w:t>
            </w:r>
          </w:p>
        </w:tc>
        <w:tc>
          <w:tcPr>
            <w:tcW w:w="1060" w:type="dxa"/>
            <w:vAlign w:val="center"/>
          </w:tcPr>
          <w:p w:rsidR="002A1594" w:rsidRPr="006E3709" w:rsidRDefault="002A1594" w:rsidP="00F81936">
            <w:pPr>
              <w:spacing w:before="120" w:after="120"/>
              <w:jc w:val="center"/>
              <w:rPr>
                <w:rFonts w:ascii="Arial" w:hAnsi="Arial" w:cs="Arial"/>
                <w:sz w:val="20"/>
                <w:szCs w:val="20"/>
              </w:rPr>
            </w:pPr>
            <w:proofErr w:type="spellStart"/>
            <w:r w:rsidRPr="006E3709">
              <w:rPr>
                <w:rFonts w:ascii="Arial" w:hAnsi="Arial" w:cs="Arial"/>
                <w:sz w:val="20"/>
                <w:szCs w:val="20"/>
              </w:rPr>
              <w:t>DLSyCV</w:t>
            </w:r>
            <w:proofErr w:type="spellEnd"/>
          </w:p>
        </w:tc>
        <w:tc>
          <w:tcPr>
            <w:tcW w:w="1586" w:type="dxa"/>
            <w:vAlign w:val="center"/>
          </w:tcPr>
          <w:p w:rsidR="002A1594" w:rsidRPr="006E3709" w:rsidRDefault="002A1594" w:rsidP="002A1594">
            <w:pPr>
              <w:spacing w:before="120" w:after="120"/>
              <w:jc w:val="center"/>
              <w:rPr>
                <w:rFonts w:ascii="Arial" w:hAnsi="Arial" w:cs="Arial"/>
                <w:sz w:val="20"/>
                <w:szCs w:val="20"/>
              </w:rPr>
            </w:pPr>
            <w:proofErr w:type="spellStart"/>
            <w:r w:rsidRPr="006E3709">
              <w:rPr>
                <w:rFonts w:ascii="Arial" w:hAnsi="Arial" w:cs="Arial"/>
                <w:sz w:val="20"/>
                <w:szCs w:val="20"/>
              </w:rPr>
              <w:t>JDLSyCV</w:t>
            </w:r>
            <w:proofErr w:type="spellEnd"/>
          </w:p>
        </w:tc>
        <w:tc>
          <w:tcPr>
            <w:tcW w:w="1669" w:type="dxa"/>
            <w:vAlign w:val="center"/>
          </w:tcPr>
          <w:p w:rsidR="002A1594" w:rsidRPr="006E3709" w:rsidRDefault="002A1594" w:rsidP="002A1594">
            <w:pPr>
              <w:spacing w:before="120" w:after="120"/>
              <w:jc w:val="center"/>
              <w:rPr>
                <w:rFonts w:ascii="Arial" w:hAnsi="Arial" w:cs="Arial"/>
                <w:sz w:val="20"/>
                <w:szCs w:val="20"/>
              </w:rPr>
            </w:pPr>
            <w:r w:rsidRPr="006E3709">
              <w:rPr>
                <w:rFonts w:ascii="Arial" w:hAnsi="Arial" w:cs="Arial"/>
                <w:sz w:val="20"/>
                <w:szCs w:val="20"/>
              </w:rPr>
              <w:t>1 año</w:t>
            </w:r>
          </w:p>
        </w:tc>
        <w:tc>
          <w:tcPr>
            <w:tcW w:w="1463" w:type="dxa"/>
            <w:vAlign w:val="center"/>
          </w:tcPr>
          <w:p w:rsidR="002A1594" w:rsidRPr="006E3709" w:rsidRDefault="002A1594" w:rsidP="002A1594">
            <w:pPr>
              <w:spacing w:before="120" w:after="120"/>
              <w:jc w:val="center"/>
              <w:rPr>
                <w:rFonts w:ascii="Arial" w:hAnsi="Arial" w:cs="Arial"/>
                <w:sz w:val="20"/>
                <w:szCs w:val="20"/>
              </w:rPr>
            </w:pPr>
            <w:r w:rsidRPr="006E3709">
              <w:rPr>
                <w:rFonts w:ascii="Arial" w:hAnsi="Arial" w:cs="Arial"/>
                <w:sz w:val="20"/>
                <w:szCs w:val="20"/>
              </w:rPr>
              <w:t>Eliminación</w:t>
            </w:r>
          </w:p>
        </w:tc>
      </w:tr>
      <w:tr w:rsidR="002A1594" w:rsidRPr="006E3709" w:rsidTr="002A1594">
        <w:trPr>
          <w:trHeight w:val="20"/>
        </w:trPr>
        <w:tc>
          <w:tcPr>
            <w:tcW w:w="2694" w:type="dxa"/>
            <w:vAlign w:val="center"/>
          </w:tcPr>
          <w:p w:rsidR="002A1594" w:rsidRPr="006E3709" w:rsidRDefault="002A1594" w:rsidP="009D4FC0">
            <w:pPr>
              <w:spacing w:before="120"/>
              <w:rPr>
                <w:rFonts w:ascii="Arial" w:hAnsi="Arial" w:cs="Arial"/>
                <w:sz w:val="20"/>
                <w:szCs w:val="20"/>
              </w:rPr>
            </w:pPr>
            <w:r w:rsidRPr="006E3709">
              <w:rPr>
                <w:rFonts w:ascii="Arial" w:hAnsi="Arial" w:cs="Arial"/>
                <w:color w:val="000000"/>
                <w:sz w:val="20"/>
                <w:szCs w:val="20"/>
              </w:rPr>
              <w:t>Boletín interno de análisis de viabilidad y vigor.</w:t>
            </w:r>
          </w:p>
        </w:tc>
        <w:tc>
          <w:tcPr>
            <w:tcW w:w="1503" w:type="dxa"/>
            <w:vAlign w:val="center"/>
          </w:tcPr>
          <w:p w:rsidR="002A1594" w:rsidRPr="006E3709" w:rsidRDefault="002A1594" w:rsidP="00AE5968">
            <w:pPr>
              <w:spacing w:before="120" w:after="120"/>
              <w:jc w:val="center"/>
              <w:rPr>
                <w:rFonts w:ascii="Arial" w:hAnsi="Arial" w:cs="Arial"/>
                <w:sz w:val="20"/>
                <w:szCs w:val="20"/>
              </w:rPr>
            </w:pPr>
            <w:r w:rsidRPr="006E3709">
              <w:rPr>
                <w:rFonts w:ascii="Arial" w:hAnsi="Arial"/>
                <w:color w:val="000000"/>
                <w:sz w:val="20"/>
                <w:szCs w:val="20"/>
              </w:rPr>
              <w:t>FOR-DLSyCV-537</w:t>
            </w:r>
          </w:p>
        </w:tc>
        <w:tc>
          <w:tcPr>
            <w:tcW w:w="1060" w:type="dxa"/>
            <w:vAlign w:val="center"/>
          </w:tcPr>
          <w:p w:rsidR="002A1594" w:rsidRPr="006E3709" w:rsidRDefault="002A1594" w:rsidP="00F81936">
            <w:pPr>
              <w:spacing w:before="120" w:after="120"/>
              <w:jc w:val="center"/>
              <w:rPr>
                <w:rFonts w:ascii="Arial" w:hAnsi="Arial" w:cs="Arial"/>
                <w:sz w:val="20"/>
                <w:szCs w:val="20"/>
              </w:rPr>
            </w:pPr>
            <w:proofErr w:type="spellStart"/>
            <w:r w:rsidRPr="006E3709">
              <w:rPr>
                <w:rFonts w:ascii="Arial" w:hAnsi="Arial" w:cs="Arial"/>
                <w:sz w:val="20"/>
                <w:szCs w:val="20"/>
              </w:rPr>
              <w:t>DLSyCV</w:t>
            </w:r>
            <w:proofErr w:type="spellEnd"/>
          </w:p>
        </w:tc>
        <w:tc>
          <w:tcPr>
            <w:tcW w:w="1586" w:type="dxa"/>
            <w:vAlign w:val="center"/>
          </w:tcPr>
          <w:p w:rsidR="002A1594" w:rsidRPr="006E3709" w:rsidRDefault="002A1594" w:rsidP="002A1594">
            <w:pPr>
              <w:spacing w:before="120" w:after="120"/>
              <w:jc w:val="center"/>
              <w:rPr>
                <w:rFonts w:ascii="Arial" w:hAnsi="Arial" w:cs="Arial"/>
                <w:sz w:val="20"/>
                <w:szCs w:val="20"/>
              </w:rPr>
            </w:pPr>
            <w:proofErr w:type="spellStart"/>
            <w:r w:rsidRPr="006E3709">
              <w:rPr>
                <w:rFonts w:ascii="Arial" w:hAnsi="Arial" w:cs="Arial"/>
                <w:sz w:val="20"/>
                <w:szCs w:val="20"/>
              </w:rPr>
              <w:t>JDLSyCV</w:t>
            </w:r>
            <w:proofErr w:type="spellEnd"/>
          </w:p>
        </w:tc>
        <w:tc>
          <w:tcPr>
            <w:tcW w:w="1669" w:type="dxa"/>
            <w:vAlign w:val="center"/>
          </w:tcPr>
          <w:p w:rsidR="002A1594" w:rsidRPr="006E3709" w:rsidRDefault="002A1594" w:rsidP="002A1594">
            <w:pPr>
              <w:spacing w:before="120" w:after="120"/>
              <w:jc w:val="center"/>
              <w:rPr>
                <w:rFonts w:ascii="Arial" w:hAnsi="Arial" w:cs="Arial"/>
                <w:sz w:val="20"/>
                <w:szCs w:val="20"/>
              </w:rPr>
            </w:pPr>
            <w:r w:rsidRPr="006E3709">
              <w:rPr>
                <w:rFonts w:ascii="Arial" w:hAnsi="Arial" w:cs="Arial"/>
                <w:sz w:val="20"/>
                <w:szCs w:val="20"/>
              </w:rPr>
              <w:t>5 años</w:t>
            </w:r>
          </w:p>
        </w:tc>
        <w:tc>
          <w:tcPr>
            <w:tcW w:w="1463" w:type="dxa"/>
            <w:vAlign w:val="center"/>
          </w:tcPr>
          <w:p w:rsidR="002A1594" w:rsidRPr="006E3709" w:rsidRDefault="002A1594" w:rsidP="002A1594">
            <w:pPr>
              <w:spacing w:before="120" w:after="120"/>
              <w:jc w:val="center"/>
              <w:rPr>
                <w:rFonts w:ascii="Arial" w:hAnsi="Arial" w:cs="Arial"/>
                <w:sz w:val="20"/>
                <w:szCs w:val="20"/>
              </w:rPr>
            </w:pPr>
            <w:r w:rsidRPr="006E3709">
              <w:rPr>
                <w:rFonts w:ascii="Arial" w:hAnsi="Arial" w:cs="Arial"/>
                <w:sz w:val="20"/>
                <w:szCs w:val="20"/>
              </w:rPr>
              <w:t>Eliminación</w:t>
            </w:r>
          </w:p>
        </w:tc>
      </w:tr>
    </w:tbl>
    <w:p w:rsidR="00497D08" w:rsidRPr="006E3709" w:rsidRDefault="00497D08">
      <w:pPr>
        <w:ind w:left="360"/>
        <w:rPr>
          <w:rFonts w:ascii="Arial" w:hAnsi="Arial"/>
          <w:b/>
          <w:color w:val="000000"/>
          <w:sz w:val="22"/>
          <w:szCs w:val="22"/>
        </w:rPr>
      </w:pPr>
    </w:p>
    <w:p w:rsidR="00497D08" w:rsidRPr="006E3709" w:rsidRDefault="00497D08" w:rsidP="000727D0">
      <w:pPr>
        <w:numPr>
          <w:ilvl w:val="0"/>
          <w:numId w:val="2"/>
        </w:numPr>
        <w:tabs>
          <w:tab w:val="clear" w:pos="720"/>
          <w:tab w:val="left" w:pos="284"/>
        </w:tabs>
        <w:ind w:left="0" w:hanging="426"/>
        <w:rPr>
          <w:rFonts w:ascii="Arial" w:hAnsi="Arial"/>
          <w:b/>
          <w:caps/>
          <w:color w:val="000000"/>
          <w:sz w:val="22"/>
          <w:szCs w:val="22"/>
        </w:rPr>
      </w:pPr>
      <w:r w:rsidRPr="006E3709">
        <w:rPr>
          <w:rFonts w:ascii="Arial" w:hAnsi="Arial"/>
          <w:b/>
          <w:caps/>
          <w:color w:val="000000"/>
          <w:sz w:val="22"/>
          <w:szCs w:val="22"/>
        </w:rPr>
        <w:t>Anexo</w:t>
      </w:r>
      <w:r w:rsidR="00EB35F7" w:rsidRPr="006E3709">
        <w:rPr>
          <w:rFonts w:ascii="Arial" w:hAnsi="Arial"/>
          <w:b/>
          <w:caps/>
          <w:color w:val="000000"/>
          <w:sz w:val="22"/>
          <w:szCs w:val="22"/>
        </w:rPr>
        <w:t>s</w:t>
      </w:r>
    </w:p>
    <w:p w:rsidR="002A1594" w:rsidRPr="006E3709" w:rsidRDefault="002A1594" w:rsidP="002A1594">
      <w:pPr>
        <w:tabs>
          <w:tab w:val="left" w:pos="284"/>
        </w:tabs>
        <w:rPr>
          <w:rFonts w:ascii="Arial" w:hAnsi="Arial"/>
          <w:b/>
          <w:caps/>
          <w:color w:val="000000"/>
          <w:sz w:val="22"/>
          <w:szCs w:val="22"/>
        </w:rPr>
      </w:pPr>
    </w:p>
    <w:p w:rsidR="00F60D98" w:rsidRPr="006E3709" w:rsidRDefault="002A1594" w:rsidP="002A1594">
      <w:pPr>
        <w:ind w:hanging="426"/>
        <w:jc w:val="both"/>
        <w:rPr>
          <w:rFonts w:ascii="Arial" w:hAnsi="Arial"/>
          <w:color w:val="000000"/>
          <w:sz w:val="22"/>
          <w:szCs w:val="22"/>
        </w:rPr>
      </w:pPr>
      <w:r w:rsidRPr="006E3709">
        <w:rPr>
          <w:rFonts w:ascii="Arial" w:hAnsi="Arial"/>
          <w:b/>
          <w:caps/>
          <w:color w:val="000000"/>
          <w:sz w:val="22"/>
          <w:szCs w:val="22"/>
        </w:rPr>
        <w:t xml:space="preserve">9.1 </w:t>
      </w:r>
      <w:r w:rsidR="00551FCF" w:rsidRPr="006E3709">
        <w:rPr>
          <w:rFonts w:ascii="Arial" w:hAnsi="Arial"/>
          <w:color w:val="000000"/>
          <w:sz w:val="22"/>
          <w:szCs w:val="22"/>
        </w:rPr>
        <w:t xml:space="preserve">Flujograma del proceso de análisis de viabilidad al </w:t>
      </w:r>
      <w:proofErr w:type="spellStart"/>
      <w:r w:rsidR="00551FCF" w:rsidRPr="006E3709">
        <w:rPr>
          <w:rFonts w:ascii="Arial" w:hAnsi="Arial"/>
          <w:color w:val="000000"/>
          <w:sz w:val="22"/>
          <w:szCs w:val="22"/>
        </w:rPr>
        <w:t>tetrazolio</w:t>
      </w:r>
      <w:proofErr w:type="spellEnd"/>
    </w:p>
    <w:p w:rsidR="000727D0" w:rsidRPr="006E3709" w:rsidRDefault="000727D0" w:rsidP="008A7456">
      <w:pPr>
        <w:ind w:hanging="142"/>
        <w:jc w:val="both"/>
        <w:rPr>
          <w:rFonts w:ascii="Arial" w:hAnsi="Arial"/>
          <w:color w:val="000000"/>
          <w:sz w:val="22"/>
          <w:szCs w:val="22"/>
        </w:rPr>
      </w:pPr>
    </w:p>
    <w:p w:rsidR="00551FCF" w:rsidRPr="006E3709" w:rsidRDefault="00551FCF" w:rsidP="008A7456">
      <w:pPr>
        <w:ind w:hanging="142"/>
        <w:jc w:val="both"/>
        <w:rPr>
          <w:rFonts w:ascii="Arial" w:hAnsi="Arial"/>
          <w:color w:val="000000"/>
          <w:sz w:val="22"/>
          <w:szCs w:val="22"/>
        </w:rPr>
      </w:pPr>
    </w:p>
    <w:p w:rsidR="00551FCF" w:rsidRPr="00754352" w:rsidRDefault="00551FCF" w:rsidP="00551FCF">
      <w:pPr>
        <w:ind w:hanging="142"/>
        <w:rPr>
          <w:bCs/>
          <w:smallCaps/>
          <w:sz w:val="32"/>
        </w:rPr>
      </w:pPr>
      <w:r>
        <w:rPr>
          <w:bCs/>
          <w:smallCaps/>
          <w:noProof/>
          <w:sz w:val="32"/>
          <w:lang w:val="en-US" w:eastAsia="en-US"/>
        </w:rPr>
        <w:drawing>
          <wp:inline distT="0" distB="0" distL="0" distR="0" wp14:anchorId="79C6BA92">
            <wp:extent cx="5991225" cy="1647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025" cy="1655746"/>
                    </a:xfrm>
                    <a:prstGeom prst="rect">
                      <a:avLst/>
                    </a:prstGeom>
                    <a:noFill/>
                  </pic:spPr>
                </pic:pic>
              </a:graphicData>
            </a:graphic>
          </wp:inline>
        </w:drawing>
      </w:r>
    </w:p>
    <w:p w:rsidR="00E719E4" w:rsidRPr="00E719E4" w:rsidRDefault="00E719E4" w:rsidP="0048013C">
      <w:pPr>
        <w:suppressAutoHyphens w:val="0"/>
        <w:jc w:val="both"/>
        <w:rPr>
          <w:sz w:val="32"/>
          <w:szCs w:val="20"/>
          <w:lang w:val="es-ES_tradnl" w:eastAsia="es-ES"/>
        </w:rPr>
      </w:pPr>
    </w:p>
    <w:sectPr w:rsidR="00E719E4" w:rsidRPr="00E719E4" w:rsidSect="00D82B1A">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8720" w:code="14"/>
      <w:pgMar w:top="1418" w:right="1275" w:bottom="1418"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E0" w:rsidRDefault="007F2CE0">
      <w:r>
        <w:separator/>
      </w:r>
    </w:p>
  </w:endnote>
  <w:endnote w:type="continuationSeparator" w:id="0">
    <w:p w:rsidR="007F2CE0" w:rsidRDefault="007F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5A" w:rsidRDefault="00707C5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5A" w:rsidRDefault="00707C5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5A" w:rsidRDefault="00707C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E0" w:rsidRDefault="007F2CE0">
      <w:r>
        <w:separator/>
      </w:r>
    </w:p>
  </w:footnote>
  <w:footnote w:type="continuationSeparator" w:id="0">
    <w:p w:rsidR="007F2CE0" w:rsidRDefault="007F2C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5A" w:rsidRDefault="00707C5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4516"/>
      <w:gridCol w:w="3227"/>
    </w:tblGrid>
    <w:tr w:rsidR="00DB15B9" w:rsidRPr="00995E6C" w:rsidTr="00CC6685">
      <w:trPr>
        <w:trHeight w:val="1686"/>
        <w:jc w:val="center"/>
      </w:trPr>
      <w:tc>
        <w:tcPr>
          <w:tcW w:w="1696" w:type="dxa"/>
          <w:tcBorders>
            <w:top w:val="single" w:sz="4" w:space="0" w:color="auto"/>
            <w:left w:val="single" w:sz="4" w:space="0" w:color="auto"/>
            <w:bottom w:val="single" w:sz="4" w:space="0" w:color="auto"/>
          </w:tcBorders>
          <w:shd w:val="clear" w:color="auto" w:fill="auto"/>
        </w:tcPr>
        <w:p w:rsidR="00DB15B9" w:rsidRPr="00467E89" w:rsidRDefault="00DB15B9" w:rsidP="00DB15B9">
          <w:pPr>
            <w:widowControl w:val="0"/>
            <w:tabs>
              <w:tab w:val="center" w:pos="963"/>
            </w:tabs>
            <w:autoSpaceDE w:val="0"/>
            <w:autoSpaceDN w:val="0"/>
            <w:contextualSpacing/>
            <w:rPr>
              <w:rFonts w:ascii="Calibri" w:eastAsia="Calibri" w:hAnsi="Calibri"/>
            </w:rPr>
          </w:pPr>
          <w:r>
            <w:rPr>
              <w:rFonts w:ascii="Calibri" w:eastAsia="Calibri" w:hAnsi="Calibri"/>
              <w:noProof/>
              <w:lang w:val="en-US" w:eastAsia="en-US"/>
            </w:rPr>
            <w:drawing>
              <wp:anchor distT="0" distB="0" distL="114300" distR="114300" simplePos="0" relativeHeight="251659264" behindDoc="1" locked="0" layoutInCell="1" allowOverlap="0" wp14:anchorId="56D3EE86" wp14:editId="1B726C04">
                <wp:simplePos x="0" y="0"/>
                <wp:positionH relativeFrom="column">
                  <wp:posOffset>162560</wp:posOffset>
                </wp:positionH>
                <wp:positionV relativeFrom="paragraph">
                  <wp:posOffset>144145</wp:posOffset>
                </wp:positionV>
                <wp:extent cx="758825" cy="676275"/>
                <wp:effectExtent l="0" t="0" r="317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6" w:type="dxa"/>
          <w:tcBorders>
            <w:top w:val="single" w:sz="4" w:space="0" w:color="auto"/>
            <w:bottom w:val="single" w:sz="4" w:space="0" w:color="auto"/>
          </w:tcBorders>
          <w:shd w:val="clear" w:color="auto" w:fill="auto"/>
          <w:vAlign w:val="center"/>
        </w:tcPr>
        <w:p w:rsidR="00DB15B9" w:rsidRPr="00467E89" w:rsidRDefault="00DB15B9" w:rsidP="00DB15B9">
          <w:pPr>
            <w:pStyle w:val="TableParagraph"/>
            <w:ind w:left="79"/>
            <w:jc w:val="center"/>
            <w:rPr>
              <w:b/>
              <w:sz w:val="24"/>
              <w:lang w:val="es-PY"/>
            </w:rPr>
          </w:pPr>
          <w:r>
            <w:rPr>
              <w:b/>
              <w:sz w:val="24"/>
              <w:lang w:val="es-PY"/>
            </w:rPr>
            <w:t>ANÁLISIS DE VIABILIDAD AL TETRAZOLIO</w:t>
          </w:r>
        </w:p>
      </w:tc>
      <w:tc>
        <w:tcPr>
          <w:tcW w:w="3227" w:type="dxa"/>
          <w:tcBorders>
            <w:top w:val="single" w:sz="4" w:space="0" w:color="auto"/>
            <w:bottom w:val="single" w:sz="4" w:space="0" w:color="auto"/>
            <w:right w:val="single" w:sz="4" w:space="0" w:color="auto"/>
          </w:tcBorders>
          <w:shd w:val="clear" w:color="auto" w:fill="auto"/>
          <w:vAlign w:val="center"/>
        </w:tcPr>
        <w:p w:rsidR="00DB15B9" w:rsidRPr="00467E89" w:rsidRDefault="00DB15B9" w:rsidP="00DB15B9">
          <w:pPr>
            <w:pStyle w:val="TableParagraph"/>
            <w:spacing w:line="270" w:lineRule="exact"/>
            <w:ind w:left="95"/>
            <w:rPr>
              <w:sz w:val="24"/>
              <w:lang w:val="es-PY"/>
            </w:rPr>
          </w:pPr>
          <w:r w:rsidRPr="00467E89">
            <w:rPr>
              <w:b/>
              <w:sz w:val="24"/>
              <w:lang w:val="es-PY"/>
            </w:rPr>
            <w:t xml:space="preserve">Código: </w:t>
          </w:r>
          <w:r>
            <w:rPr>
              <w:sz w:val="24"/>
              <w:lang w:val="es-PY"/>
            </w:rPr>
            <w:t>PRO-DLSyCV-514</w:t>
          </w:r>
        </w:p>
        <w:p w:rsidR="00DB15B9" w:rsidRDefault="00DB15B9" w:rsidP="00DB15B9">
          <w:pPr>
            <w:pStyle w:val="TableParagraph"/>
            <w:spacing w:before="2" w:line="275" w:lineRule="exact"/>
            <w:ind w:left="95"/>
            <w:rPr>
              <w:b/>
              <w:sz w:val="24"/>
              <w:lang w:val="es-PY"/>
            </w:rPr>
          </w:pPr>
          <w:r>
            <w:rPr>
              <w:b/>
              <w:sz w:val="24"/>
              <w:lang w:val="es-PY"/>
            </w:rPr>
            <w:t xml:space="preserve">Emisor: </w:t>
          </w:r>
          <w:r w:rsidRPr="00333622">
            <w:rPr>
              <w:sz w:val="24"/>
              <w:lang w:val="es-PY"/>
            </w:rPr>
            <w:t>D</w:t>
          </w:r>
          <w:r w:rsidR="00181568">
            <w:rPr>
              <w:sz w:val="24"/>
              <w:lang w:val="es-PY"/>
            </w:rPr>
            <w:t>GT-DL-</w:t>
          </w:r>
          <w:proofErr w:type="spellStart"/>
          <w:r w:rsidRPr="00333622">
            <w:rPr>
              <w:sz w:val="24"/>
              <w:lang w:val="es-PY"/>
            </w:rPr>
            <w:t>DLSyCV</w:t>
          </w:r>
          <w:proofErr w:type="spellEnd"/>
        </w:p>
        <w:p w:rsidR="00DB15B9" w:rsidRPr="00467E89" w:rsidRDefault="00DB15B9" w:rsidP="00DB15B9">
          <w:pPr>
            <w:pStyle w:val="TableParagraph"/>
            <w:spacing w:before="2" w:line="275" w:lineRule="exact"/>
            <w:ind w:left="95"/>
            <w:rPr>
              <w:sz w:val="24"/>
              <w:lang w:val="es-PY"/>
            </w:rPr>
          </w:pPr>
          <w:r w:rsidRPr="00467E89">
            <w:rPr>
              <w:b/>
              <w:sz w:val="24"/>
              <w:lang w:val="es-PY"/>
            </w:rPr>
            <w:t xml:space="preserve">Versión: </w:t>
          </w:r>
          <w:r>
            <w:rPr>
              <w:sz w:val="24"/>
              <w:lang w:val="es-PY"/>
            </w:rPr>
            <w:t>01</w:t>
          </w:r>
        </w:p>
        <w:p w:rsidR="00DB15B9" w:rsidRPr="00467E89" w:rsidRDefault="00DB15B9" w:rsidP="006E3709">
          <w:pPr>
            <w:pStyle w:val="TableParagraph"/>
            <w:spacing w:line="275" w:lineRule="exact"/>
            <w:ind w:left="95" w:right="-58"/>
            <w:rPr>
              <w:sz w:val="24"/>
              <w:lang w:val="es-PY"/>
            </w:rPr>
          </w:pPr>
          <w:r w:rsidRPr="00467E89">
            <w:rPr>
              <w:b/>
              <w:sz w:val="24"/>
              <w:lang w:val="es-PY"/>
            </w:rPr>
            <w:t>Vigente:</w:t>
          </w:r>
          <w:r w:rsidR="006E3709">
            <w:rPr>
              <w:b/>
              <w:sz w:val="24"/>
              <w:lang w:val="es-PY"/>
            </w:rPr>
            <w:t xml:space="preserve">  </w:t>
          </w:r>
          <w:r w:rsidR="006E3709" w:rsidRPr="009F0F4E">
            <w:rPr>
              <w:spacing w:val="-11"/>
              <w:sz w:val="24"/>
              <w:lang w:val="es-PY"/>
            </w:rPr>
            <w:t xml:space="preserve"> </w:t>
          </w:r>
          <w:r w:rsidR="00707C5A">
            <w:rPr>
              <w:spacing w:val="-11"/>
              <w:sz w:val="24"/>
              <w:lang w:val="es-PY"/>
            </w:rPr>
            <w:t>17</w:t>
          </w:r>
          <w:r w:rsidR="006E3709">
            <w:rPr>
              <w:spacing w:val="-11"/>
              <w:sz w:val="24"/>
              <w:lang w:val="es-PY"/>
            </w:rPr>
            <w:t xml:space="preserve"> </w:t>
          </w:r>
          <w:r w:rsidR="006E3709" w:rsidRPr="009F0F4E">
            <w:rPr>
              <w:spacing w:val="-11"/>
              <w:sz w:val="24"/>
              <w:lang w:val="es-PY"/>
            </w:rPr>
            <w:t xml:space="preserve">/ </w:t>
          </w:r>
          <w:r w:rsidR="00707C5A">
            <w:rPr>
              <w:spacing w:val="-11"/>
              <w:sz w:val="24"/>
              <w:lang w:val="es-PY"/>
            </w:rPr>
            <w:t xml:space="preserve">05 </w:t>
          </w:r>
          <w:r w:rsidR="006E3709" w:rsidRPr="009F0F4E">
            <w:rPr>
              <w:spacing w:val="-11"/>
              <w:sz w:val="24"/>
              <w:lang w:val="es-PY"/>
            </w:rPr>
            <w:t>/</w:t>
          </w:r>
          <w:r w:rsidR="00707C5A">
            <w:rPr>
              <w:spacing w:val="-11"/>
              <w:sz w:val="24"/>
              <w:lang w:val="es-PY"/>
            </w:rPr>
            <w:t xml:space="preserve"> </w:t>
          </w:r>
          <w:bookmarkStart w:id="0" w:name="_GoBack"/>
          <w:bookmarkEnd w:id="0"/>
          <w:r w:rsidR="006E3709" w:rsidRPr="009F0F4E">
            <w:rPr>
              <w:spacing w:val="-11"/>
              <w:sz w:val="24"/>
              <w:lang w:val="es-PY"/>
            </w:rPr>
            <w:t>2023</w:t>
          </w:r>
        </w:p>
        <w:p w:rsidR="00DB15B9" w:rsidRPr="003F7224" w:rsidRDefault="00DB15B9" w:rsidP="00DB15B9">
          <w:pPr>
            <w:rPr>
              <w:rFonts w:ascii="Arial" w:hAnsi="Arial" w:cs="Arial"/>
            </w:rPr>
          </w:pPr>
          <w:r>
            <w:rPr>
              <w:rFonts w:ascii="Arial" w:hAnsi="Arial" w:cs="Arial"/>
              <w:b/>
            </w:rPr>
            <w:t xml:space="preserve">  Página: </w:t>
          </w:r>
          <w:r w:rsidRPr="006D0642">
            <w:rPr>
              <w:rFonts w:ascii="Arial" w:hAnsi="Arial" w:cs="Arial"/>
            </w:rPr>
            <w:t xml:space="preserve">  </w:t>
          </w:r>
          <w:sdt>
            <w:sdtPr>
              <w:rPr>
                <w:rFonts w:ascii="Arial" w:hAnsi="Arial" w:cs="Arial"/>
              </w:rPr>
              <w:id w:val="250395305"/>
              <w:docPartObj>
                <w:docPartGallery w:val="Page Numbers (Top of Page)"/>
                <w:docPartUnique/>
              </w:docPartObj>
            </w:sdtPr>
            <w:sdtEndPr/>
            <w:sdtContent>
              <w:r w:rsidRPr="006D0642">
                <w:rPr>
                  <w:rFonts w:ascii="Arial" w:hAnsi="Arial" w:cs="Arial"/>
                </w:rPr>
                <w:t xml:space="preserve"> </w:t>
              </w:r>
              <w:r w:rsidRPr="006D0642">
                <w:rPr>
                  <w:rFonts w:ascii="Arial" w:hAnsi="Arial" w:cs="Arial"/>
                </w:rPr>
                <w:fldChar w:fldCharType="begin"/>
              </w:r>
              <w:r w:rsidRPr="006D0642">
                <w:rPr>
                  <w:rFonts w:ascii="Arial" w:hAnsi="Arial" w:cs="Arial"/>
                </w:rPr>
                <w:instrText xml:space="preserve"> PAGE </w:instrText>
              </w:r>
              <w:r w:rsidRPr="006D0642">
                <w:rPr>
                  <w:rFonts w:ascii="Arial" w:hAnsi="Arial" w:cs="Arial"/>
                </w:rPr>
                <w:fldChar w:fldCharType="separate"/>
              </w:r>
              <w:r w:rsidR="00707C5A">
                <w:rPr>
                  <w:rFonts w:ascii="Arial" w:hAnsi="Arial" w:cs="Arial"/>
                  <w:noProof/>
                </w:rPr>
                <w:t>1</w:t>
              </w:r>
              <w:r w:rsidRPr="006D0642">
                <w:rPr>
                  <w:rFonts w:ascii="Arial" w:hAnsi="Arial" w:cs="Arial"/>
                </w:rPr>
                <w:fldChar w:fldCharType="end"/>
              </w:r>
              <w:r w:rsidRPr="006D0642">
                <w:rPr>
                  <w:rFonts w:ascii="Arial" w:hAnsi="Arial" w:cs="Arial"/>
                </w:rPr>
                <w:t xml:space="preserve"> de </w:t>
              </w:r>
              <w:r w:rsidRPr="006D0642">
                <w:rPr>
                  <w:rFonts w:ascii="Arial" w:hAnsi="Arial" w:cs="Arial"/>
                </w:rPr>
                <w:fldChar w:fldCharType="begin"/>
              </w:r>
              <w:r w:rsidRPr="006D0642">
                <w:rPr>
                  <w:rFonts w:ascii="Arial" w:hAnsi="Arial" w:cs="Arial"/>
                </w:rPr>
                <w:instrText xml:space="preserve"> NUMPAGES  </w:instrText>
              </w:r>
              <w:r w:rsidRPr="006D0642">
                <w:rPr>
                  <w:rFonts w:ascii="Arial" w:hAnsi="Arial" w:cs="Arial"/>
                </w:rPr>
                <w:fldChar w:fldCharType="separate"/>
              </w:r>
              <w:r w:rsidR="00707C5A">
                <w:rPr>
                  <w:rFonts w:ascii="Arial" w:hAnsi="Arial" w:cs="Arial"/>
                  <w:noProof/>
                </w:rPr>
                <w:t>6</w:t>
              </w:r>
              <w:r w:rsidRPr="006D0642">
                <w:rPr>
                  <w:rFonts w:ascii="Arial" w:hAnsi="Arial" w:cs="Arial"/>
                </w:rPr>
                <w:fldChar w:fldCharType="end"/>
              </w:r>
            </w:sdtContent>
          </w:sdt>
        </w:p>
      </w:tc>
    </w:tr>
  </w:tbl>
  <w:p w:rsidR="00497D08" w:rsidRDefault="00497D0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5A" w:rsidRDefault="00707C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F089910"/>
    <w:name w:val="WW8Num4"/>
    <w:lvl w:ilvl="0">
      <w:start w:val="1"/>
      <w:numFmt w:val="decimal"/>
      <w:lvlText w:val="%1."/>
      <w:lvlJc w:val="left"/>
      <w:pPr>
        <w:tabs>
          <w:tab w:val="num" w:pos="720"/>
        </w:tabs>
        <w:ind w:left="720" w:hanging="360"/>
      </w:pPr>
    </w:lvl>
    <w:lvl w:ilvl="1">
      <w:start w:val="1"/>
      <w:numFmt w:val="decimal"/>
      <w:lvlText w:val="%1.%2"/>
      <w:lvlJc w:val="left"/>
      <w:pPr>
        <w:tabs>
          <w:tab w:val="num" w:pos="643"/>
        </w:tabs>
        <w:ind w:left="643" w:hanging="360"/>
      </w:pPr>
      <w:rPr>
        <w:b/>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15:restartNumberingAfterBreak="0">
    <w:nsid w:val="0A394C7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D3963E6"/>
    <w:multiLevelType w:val="hybridMultilevel"/>
    <w:tmpl w:val="24066BD4"/>
    <w:lvl w:ilvl="0" w:tplc="DB48E8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E31"/>
    <w:multiLevelType w:val="hybridMultilevel"/>
    <w:tmpl w:val="F53807FE"/>
    <w:lvl w:ilvl="0" w:tplc="E6C2233A">
      <w:start w:val="1"/>
      <w:numFmt w:val="lowerLetter"/>
      <w:lvlText w:val="%1)"/>
      <w:lvlJc w:val="left"/>
      <w:pPr>
        <w:ind w:left="1069" w:hanging="360"/>
      </w:pPr>
      <w:rPr>
        <w:rFonts w:hint="default"/>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5" w15:restartNumberingAfterBreak="0">
    <w:nsid w:val="19CD7EF3"/>
    <w:multiLevelType w:val="hybridMultilevel"/>
    <w:tmpl w:val="1D7A47A2"/>
    <w:lvl w:ilvl="0" w:tplc="4156ED5A">
      <w:start w:val="1"/>
      <w:numFmt w:val="lowerLetter"/>
      <w:lvlText w:val="%1)"/>
      <w:lvlJc w:val="left"/>
      <w:pPr>
        <w:ind w:left="720" w:hanging="360"/>
      </w:pPr>
      <w:rPr>
        <w:rFonts w:ascii="Arial" w:eastAsia="Times New Roman" w:hAnsi="Arial" w:cs="Times New Roman"/>
      </w:rPr>
    </w:lvl>
    <w:lvl w:ilvl="1" w:tplc="9DCE8594">
      <w:numFmt w:val="bullet"/>
      <w:lvlText w:val="-"/>
      <w:lvlJc w:val="left"/>
      <w:pPr>
        <w:ind w:left="1440" w:hanging="360"/>
      </w:pPr>
      <w:rPr>
        <w:rFonts w:ascii="Arial" w:eastAsia="Times New Roman" w:hAnsi="Arial" w:cs="Arial" w:hint="default"/>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D0D2898"/>
    <w:multiLevelType w:val="hybridMultilevel"/>
    <w:tmpl w:val="F53807FE"/>
    <w:lvl w:ilvl="0" w:tplc="E6C2233A">
      <w:start w:val="1"/>
      <w:numFmt w:val="lowerLetter"/>
      <w:lvlText w:val="%1)"/>
      <w:lvlJc w:val="left"/>
      <w:pPr>
        <w:ind w:left="1069" w:hanging="360"/>
      </w:pPr>
      <w:rPr>
        <w:rFonts w:hint="default"/>
      </w:rPr>
    </w:lvl>
    <w:lvl w:ilvl="1" w:tplc="3C0A0019" w:tentative="1">
      <w:start w:val="1"/>
      <w:numFmt w:val="lowerLetter"/>
      <w:lvlText w:val="%2."/>
      <w:lvlJc w:val="left"/>
      <w:pPr>
        <w:ind w:left="1789" w:hanging="360"/>
      </w:pPr>
    </w:lvl>
    <w:lvl w:ilvl="2" w:tplc="3C0A001B" w:tentative="1">
      <w:start w:val="1"/>
      <w:numFmt w:val="lowerRoman"/>
      <w:lvlText w:val="%3."/>
      <w:lvlJc w:val="right"/>
      <w:pPr>
        <w:ind w:left="2509" w:hanging="180"/>
      </w:pPr>
    </w:lvl>
    <w:lvl w:ilvl="3" w:tplc="3C0A000F" w:tentative="1">
      <w:start w:val="1"/>
      <w:numFmt w:val="decimal"/>
      <w:lvlText w:val="%4."/>
      <w:lvlJc w:val="left"/>
      <w:pPr>
        <w:ind w:left="3229" w:hanging="360"/>
      </w:pPr>
    </w:lvl>
    <w:lvl w:ilvl="4" w:tplc="3C0A0019" w:tentative="1">
      <w:start w:val="1"/>
      <w:numFmt w:val="lowerLetter"/>
      <w:lvlText w:val="%5."/>
      <w:lvlJc w:val="left"/>
      <w:pPr>
        <w:ind w:left="3949" w:hanging="360"/>
      </w:pPr>
    </w:lvl>
    <w:lvl w:ilvl="5" w:tplc="3C0A001B" w:tentative="1">
      <w:start w:val="1"/>
      <w:numFmt w:val="lowerRoman"/>
      <w:lvlText w:val="%6."/>
      <w:lvlJc w:val="right"/>
      <w:pPr>
        <w:ind w:left="4669" w:hanging="180"/>
      </w:pPr>
    </w:lvl>
    <w:lvl w:ilvl="6" w:tplc="3C0A000F" w:tentative="1">
      <w:start w:val="1"/>
      <w:numFmt w:val="decimal"/>
      <w:lvlText w:val="%7."/>
      <w:lvlJc w:val="left"/>
      <w:pPr>
        <w:ind w:left="5389" w:hanging="360"/>
      </w:pPr>
    </w:lvl>
    <w:lvl w:ilvl="7" w:tplc="3C0A0019" w:tentative="1">
      <w:start w:val="1"/>
      <w:numFmt w:val="lowerLetter"/>
      <w:lvlText w:val="%8."/>
      <w:lvlJc w:val="left"/>
      <w:pPr>
        <w:ind w:left="6109" w:hanging="360"/>
      </w:pPr>
    </w:lvl>
    <w:lvl w:ilvl="8" w:tplc="3C0A001B" w:tentative="1">
      <w:start w:val="1"/>
      <w:numFmt w:val="lowerRoman"/>
      <w:lvlText w:val="%9."/>
      <w:lvlJc w:val="right"/>
      <w:pPr>
        <w:ind w:left="6829" w:hanging="180"/>
      </w:pPr>
    </w:lvl>
  </w:abstractNum>
  <w:abstractNum w:abstractNumId="7" w15:restartNumberingAfterBreak="0">
    <w:nsid w:val="1D8C408A"/>
    <w:multiLevelType w:val="multilevel"/>
    <w:tmpl w:val="A6522F28"/>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FC62EA3"/>
    <w:multiLevelType w:val="hybridMultilevel"/>
    <w:tmpl w:val="B260927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BB5DA5"/>
    <w:multiLevelType w:val="hybridMultilevel"/>
    <w:tmpl w:val="8342130C"/>
    <w:lvl w:ilvl="0" w:tplc="3C0A0001">
      <w:start w:val="1"/>
      <w:numFmt w:val="bullet"/>
      <w:lvlText w:val=""/>
      <w:lvlJc w:val="left"/>
      <w:pPr>
        <w:ind w:left="1429" w:hanging="360"/>
      </w:pPr>
      <w:rPr>
        <w:rFonts w:ascii="Symbol" w:hAnsi="Symbol" w:hint="default"/>
      </w:rPr>
    </w:lvl>
    <w:lvl w:ilvl="1" w:tplc="3C0A0003">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0" w15:restartNumberingAfterBreak="0">
    <w:nsid w:val="2E413E2B"/>
    <w:multiLevelType w:val="hybridMultilevel"/>
    <w:tmpl w:val="7C16C45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974BD1"/>
    <w:multiLevelType w:val="multilevel"/>
    <w:tmpl w:val="9D86BE92"/>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6C7A8D"/>
    <w:multiLevelType w:val="hybridMultilevel"/>
    <w:tmpl w:val="285A60C8"/>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3" w15:restartNumberingAfterBreak="0">
    <w:nsid w:val="34747EDD"/>
    <w:multiLevelType w:val="hybridMultilevel"/>
    <w:tmpl w:val="BC0465F4"/>
    <w:lvl w:ilvl="0" w:tplc="439E768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3562241B"/>
    <w:multiLevelType w:val="multilevel"/>
    <w:tmpl w:val="7C16C4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0D5719"/>
    <w:multiLevelType w:val="hybridMultilevel"/>
    <w:tmpl w:val="14FC4750"/>
    <w:lvl w:ilvl="0" w:tplc="3C0A0019">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6" w15:restartNumberingAfterBreak="0">
    <w:nsid w:val="3A697C68"/>
    <w:multiLevelType w:val="hybridMultilevel"/>
    <w:tmpl w:val="6A580C64"/>
    <w:lvl w:ilvl="0" w:tplc="D77C5AE4">
      <w:start w:val="3"/>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E8118DA"/>
    <w:multiLevelType w:val="hybridMultilevel"/>
    <w:tmpl w:val="223CC610"/>
    <w:lvl w:ilvl="0" w:tplc="6E041522">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3ED07D50"/>
    <w:multiLevelType w:val="multilevel"/>
    <w:tmpl w:val="6C1CD40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3F740D7E"/>
    <w:multiLevelType w:val="multilevel"/>
    <w:tmpl w:val="A54E0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572" w:hanging="720"/>
      </w:pPr>
      <w:rPr>
        <w:rFonts w:ascii="Arial" w:eastAsia="Times New Roman" w:hAnsi="Arial" w:cs="Times New Roman"/>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0B10C2A"/>
    <w:multiLevelType w:val="multilevel"/>
    <w:tmpl w:val="B87AD5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E978F2"/>
    <w:multiLevelType w:val="hybridMultilevel"/>
    <w:tmpl w:val="43F44D06"/>
    <w:lvl w:ilvl="0" w:tplc="877AE95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15:restartNumberingAfterBreak="0">
    <w:nsid w:val="44570E0B"/>
    <w:multiLevelType w:val="hybridMultilevel"/>
    <w:tmpl w:val="FA52CCD2"/>
    <w:lvl w:ilvl="0" w:tplc="1BA870CE">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23" w15:restartNumberingAfterBreak="0">
    <w:nsid w:val="46D80884"/>
    <w:multiLevelType w:val="hybridMultilevel"/>
    <w:tmpl w:val="8C1A3A6C"/>
    <w:lvl w:ilvl="0" w:tplc="3C0A0001">
      <w:start w:val="1"/>
      <w:numFmt w:val="bullet"/>
      <w:lvlText w:val=""/>
      <w:lvlJc w:val="left"/>
      <w:pPr>
        <w:ind w:left="1146" w:hanging="360"/>
      </w:pPr>
      <w:rPr>
        <w:rFonts w:ascii="Symbol" w:hAnsi="Symbol"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24" w15:restartNumberingAfterBreak="0">
    <w:nsid w:val="4B8C751A"/>
    <w:multiLevelType w:val="hybridMultilevel"/>
    <w:tmpl w:val="76D8C55C"/>
    <w:lvl w:ilvl="0" w:tplc="3C0A0001">
      <w:start w:val="1"/>
      <w:numFmt w:val="bullet"/>
      <w:lvlText w:val=""/>
      <w:lvlJc w:val="left"/>
      <w:pPr>
        <w:ind w:left="1429" w:hanging="360"/>
      </w:pPr>
      <w:rPr>
        <w:rFonts w:ascii="Symbol" w:hAnsi="Symbol" w:hint="default"/>
      </w:rPr>
    </w:lvl>
    <w:lvl w:ilvl="1" w:tplc="3C0A0003">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5" w15:restartNumberingAfterBreak="0">
    <w:nsid w:val="4E317461"/>
    <w:multiLevelType w:val="hybridMultilevel"/>
    <w:tmpl w:val="51ACAB20"/>
    <w:lvl w:ilvl="0" w:tplc="87DA4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F6B90"/>
    <w:multiLevelType w:val="hybridMultilevel"/>
    <w:tmpl w:val="F2288F1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40B64"/>
    <w:multiLevelType w:val="hybridMultilevel"/>
    <w:tmpl w:val="718A2F42"/>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28" w15:restartNumberingAfterBreak="0">
    <w:nsid w:val="59AA2727"/>
    <w:multiLevelType w:val="hybridMultilevel"/>
    <w:tmpl w:val="8CA4FE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193EB7"/>
    <w:multiLevelType w:val="hybridMultilevel"/>
    <w:tmpl w:val="72A22882"/>
    <w:lvl w:ilvl="0" w:tplc="0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0" w15:restartNumberingAfterBreak="0">
    <w:nsid w:val="5ACD20C4"/>
    <w:multiLevelType w:val="multilevel"/>
    <w:tmpl w:val="20A00F22"/>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EB21421"/>
    <w:multiLevelType w:val="hybridMultilevel"/>
    <w:tmpl w:val="C55ABF2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15:restartNumberingAfterBreak="0">
    <w:nsid w:val="5FE80987"/>
    <w:multiLevelType w:val="multilevel"/>
    <w:tmpl w:val="7E724450"/>
    <w:lvl w:ilvl="0">
      <w:start w:val="5"/>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6A800F1"/>
    <w:multiLevelType w:val="hybridMultilevel"/>
    <w:tmpl w:val="ABD231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C6241"/>
    <w:multiLevelType w:val="hybridMultilevel"/>
    <w:tmpl w:val="6C9042E6"/>
    <w:lvl w:ilvl="0" w:tplc="0416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15:restartNumberingAfterBreak="0">
    <w:nsid w:val="6D220213"/>
    <w:multiLevelType w:val="hybridMultilevel"/>
    <w:tmpl w:val="65FCDD76"/>
    <w:lvl w:ilvl="0" w:tplc="B79A17AC">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6" w15:restartNumberingAfterBreak="0">
    <w:nsid w:val="6D6C25A5"/>
    <w:multiLevelType w:val="hybridMultilevel"/>
    <w:tmpl w:val="8E283E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9707BB"/>
    <w:multiLevelType w:val="multilevel"/>
    <w:tmpl w:val="22EC04B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b/>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8" w15:restartNumberingAfterBreak="0">
    <w:nsid w:val="6ED53097"/>
    <w:multiLevelType w:val="hybridMultilevel"/>
    <w:tmpl w:val="79B6AE2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9" w15:restartNumberingAfterBreak="0">
    <w:nsid w:val="732825E5"/>
    <w:multiLevelType w:val="hybridMultilevel"/>
    <w:tmpl w:val="B6508A02"/>
    <w:lvl w:ilvl="0" w:tplc="8CE80816">
      <w:numFmt w:val="bullet"/>
      <w:lvlText w:val="-"/>
      <w:lvlJc w:val="left"/>
      <w:pPr>
        <w:tabs>
          <w:tab w:val="num" w:pos="1770"/>
        </w:tabs>
        <w:ind w:left="1770" w:hanging="36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40" w15:restartNumberingAfterBreak="0">
    <w:nsid w:val="738F7F4E"/>
    <w:multiLevelType w:val="multilevel"/>
    <w:tmpl w:val="8CAABCB0"/>
    <w:lvl w:ilvl="0">
      <w:start w:val="5"/>
      <w:numFmt w:val="decimal"/>
      <w:lvlText w:val="%1"/>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464" w:hanging="1800"/>
      </w:pPr>
      <w:rPr>
        <w:rFonts w:hint="default"/>
        <w:b w:val="0"/>
      </w:rPr>
    </w:lvl>
  </w:abstractNum>
  <w:abstractNum w:abstractNumId="41" w15:restartNumberingAfterBreak="0">
    <w:nsid w:val="78506A0A"/>
    <w:multiLevelType w:val="hybridMultilevel"/>
    <w:tmpl w:val="846A50EA"/>
    <w:lvl w:ilvl="0" w:tplc="3C0A0001">
      <w:start w:val="1"/>
      <w:numFmt w:val="bullet"/>
      <w:lvlText w:val=""/>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42" w15:restartNumberingAfterBreak="0">
    <w:nsid w:val="7CCB5525"/>
    <w:multiLevelType w:val="hybridMultilevel"/>
    <w:tmpl w:val="8CC61E28"/>
    <w:lvl w:ilvl="0" w:tplc="B8CC0A2E">
      <w:start w:val="1"/>
      <w:numFmt w:val="bullet"/>
      <w:lvlText w:val=""/>
      <w:lvlPicBulletId w:val="0"/>
      <w:lvlJc w:val="left"/>
      <w:pPr>
        <w:ind w:left="1440" w:hanging="360"/>
      </w:pPr>
      <w:rPr>
        <w:rFonts w:ascii="Symbol" w:hAnsi="Symbol" w:hint="default"/>
        <w:color w:val="auto"/>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3" w15:restartNumberingAfterBreak="0">
    <w:nsid w:val="7FCD2219"/>
    <w:multiLevelType w:val="hybridMultilevel"/>
    <w:tmpl w:val="77B48FE8"/>
    <w:lvl w:ilvl="0" w:tplc="C5E0C1FC">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num w:numId="1">
    <w:abstractNumId w:val="0"/>
  </w:num>
  <w:num w:numId="2">
    <w:abstractNumId w:val="1"/>
  </w:num>
  <w:num w:numId="3">
    <w:abstractNumId w:val="21"/>
  </w:num>
  <w:num w:numId="4">
    <w:abstractNumId w:val="13"/>
  </w:num>
  <w:num w:numId="5">
    <w:abstractNumId w:val="36"/>
  </w:num>
  <w:num w:numId="6">
    <w:abstractNumId w:val="40"/>
  </w:num>
  <w:num w:numId="7">
    <w:abstractNumId w:val="11"/>
  </w:num>
  <w:num w:numId="8">
    <w:abstractNumId w:val="7"/>
  </w:num>
  <w:num w:numId="9">
    <w:abstractNumId w:val="8"/>
  </w:num>
  <w:num w:numId="10">
    <w:abstractNumId w:val="10"/>
  </w:num>
  <w:num w:numId="11">
    <w:abstractNumId w:val="28"/>
  </w:num>
  <w:num w:numId="12">
    <w:abstractNumId w:val="14"/>
  </w:num>
  <w:num w:numId="13">
    <w:abstractNumId w:val="33"/>
  </w:num>
  <w:num w:numId="14">
    <w:abstractNumId w:val="27"/>
  </w:num>
  <w:num w:numId="15">
    <w:abstractNumId w:val="30"/>
  </w:num>
  <w:num w:numId="16">
    <w:abstractNumId w:val="18"/>
  </w:num>
  <w:num w:numId="17">
    <w:abstractNumId w:val="19"/>
  </w:num>
  <w:num w:numId="18">
    <w:abstractNumId w:val="31"/>
  </w:num>
  <w:num w:numId="19">
    <w:abstractNumId w:val="22"/>
  </w:num>
  <w:num w:numId="20">
    <w:abstractNumId w:val="5"/>
  </w:num>
  <w:num w:numId="21">
    <w:abstractNumId w:val="38"/>
  </w:num>
  <w:num w:numId="22">
    <w:abstractNumId w:val="2"/>
  </w:num>
  <w:num w:numId="23">
    <w:abstractNumId w:val="39"/>
  </w:num>
  <w:num w:numId="24">
    <w:abstractNumId w:val="12"/>
  </w:num>
  <w:num w:numId="25">
    <w:abstractNumId w:val="4"/>
  </w:num>
  <w:num w:numId="26">
    <w:abstractNumId w:val="9"/>
  </w:num>
  <w:num w:numId="27">
    <w:abstractNumId w:val="24"/>
  </w:num>
  <w:num w:numId="28">
    <w:abstractNumId w:val="34"/>
  </w:num>
  <w:num w:numId="29">
    <w:abstractNumId w:val="29"/>
  </w:num>
  <w:num w:numId="30">
    <w:abstractNumId w:val="42"/>
  </w:num>
  <w:num w:numId="31">
    <w:abstractNumId w:val="6"/>
  </w:num>
  <w:num w:numId="32">
    <w:abstractNumId w:val="43"/>
  </w:num>
  <w:num w:numId="33">
    <w:abstractNumId w:val="23"/>
  </w:num>
  <w:num w:numId="34">
    <w:abstractNumId w:val="20"/>
  </w:num>
  <w:num w:numId="35">
    <w:abstractNumId w:val="32"/>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
  </w:num>
  <w:num w:numId="39">
    <w:abstractNumId w:val="25"/>
  </w:num>
  <w:num w:numId="40">
    <w:abstractNumId w:val="16"/>
  </w:num>
  <w:num w:numId="41">
    <w:abstractNumId w:val="26"/>
  </w:num>
  <w:num w:numId="42">
    <w:abstractNumId w:val="17"/>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PY"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3A"/>
    <w:rsid w:val="00000C3E"/>
    <w:rsid w:val="00026D3E"/>
    <w:rsid w:val="00031FFA"/>
    <w:rsid w:val="0003787C"/>
    <w:rsid w:val="00046CFC"/>
    <w:rsid w:val="00067146"/>
    <w:rsid w:val="000727D0"/>
    <w:rsid w:val="00080BF1"/>
    <w:rsid w:val="00087AC4"/>
    <w:rsid w:val="000956E4"/>
    <w:rsid w:val="000A6085"/>
    <w:rsid w:val="000B134F"/>
    <w:rsid w:val="000D113D"/>
    <w:rsid w:val="000E7D42"/>
    <w:rsid w:val="000F534D"/>
    <w:rsid w:val="001130FD"/>
    <w:rsid w:val="001254AE"/>
    <w:rsid w:val="00127300"/>
    <w:rsid w:val="00181568"/>
    <w:rsid w:val="00195419"/>
    <w:rsid w:val="001C2A77"/>
    <w:rsid w:val="001C45A1"/>
    <w:rsid w:val="001D45F3"/>
    <w:rsid w:val="001E276A"/>
    <w:rsid w:val="001F0762"/>
    <w:rsid w:val="001F42AB"/>
    <w:rsid w:val="00200409"/>
    <w:rsid w:val="00211311"/>
    <w:rsid w:val="00215F37"/>
    <w:rsid w:val="00222ECA"/>
    <w:rsid w:val="002445D6"/>
    <w:rsid w:val="00246A99"/>
    <w:rsid w:val="00251519"/>
    <w:rsid w:val="0027273B"/>
    <w:rsid w:val="00272EFB"/>
    <w:rsid w:val="00283FBB"/>
    <w:rsid w:val="002A1594"/>
    <w:rsid w:val="002B1D98"/>
    <w:rsid w:val="002B7D77"/>
    <w:rsid w:val="002E13EB"/>
    <w:rsid w:val="002E76EB"/>
    <w:rsid w:val="002F3302"/>
    <w:rsid w:val="002F7223"/>
    <w:rsid w:val="00324135"/>
    <w:rsid w:val="00324D71"/>
    <w:rsid w:val="00325995"/>
    <w:rsid w:val="003306BF"/>
    <w:rsid w:val="0033216C"/>
    <w:rsid w:val="00344806"/>
    <w:rsid w:val="0035566F"/>
    <w:rsid w:val="003604AA"/>
    <w:rsid w:val="00364B16"/>
    <w:rsid w:val="003800E7"/>
    <w:rsid w:val="003B59AC"/>
    <w:rsid w:val="003C3F7C"/>
    <w:rsid w:val="003C7A85"/>
    <w:rsid w:val="003D6654"/>
    <w:rsid w:val="00404168"/>
    <w:rsid w:val="004077FF"/>
    <w:rsid w:val="0041740C"/>
    <w:rsid w:val="004356C8"/>
    <w:rsid w:val="0043689E"/>
    <w:rsid w:val="00452DAC"/>
    <w:rsid w:val="00454BC4"/>
    <w:rsid w:val="0047283C"/>
    <w:rsid w:val="00473D74"/>
    <w:rsid w:val="004757B8"/>
    <w:rsid w:val="0048013C"/>
    <w:rsid w:val="004801F2"/>
    <w:rsid w:val="004811F0"/>
    <w:rsid w:val="00496F6C"/>
    <w:rsid w:val="00497D08"/>
    <w:rsid w:val="004C302B"/>
    <w:rsid w:val="004C3682"/>
    <w:rsid w:val="004E5351"/>
    <w:rsid w:val="004F4798"/>
    <w:rsid w:val="004F738D"/>
    <w:rsid w:val="005014F7"/>
    <w:rsid w:val="00515D6F"/>
    <w:rsid w:val="0052516E"/>
    <w:rsid w:val="005257BD"/>
    <w:rsid w:val="0054166A"/>
    <w:rsid w:val="00551219"/>
    <w:rsid w:val="005514AE"/>
    <w:rsid w:val="00551FCF"/>
    <w:rsid w:val="0056191A"/>
    <w:rsid w:val="00566F48"/>
    <w:rsid w:val="00580319"/>
    <w:rsid w:val="005820DA"/>
    <w:rsid w:val="00590339"/>
    <w:rsid w:val="005C6CFB"/>
    <w:rsid w:val="005D7A3F"/>
    <w:rsid w:val="005E7108"/>
    <w:rsid w:val="00677F2B"/>
    <w:rsid w:val="00680CC2"/>
    <w:rsid w:val="00694394"/>
    <w:rsid w:val="00695517"/>
    <w:rsid w:val="006B7C20"/>
    <w:rsid w:val="006B7C85"/>
    <w:rsid w:val="006E3709"/>
    <w:rsid w:val="006E4D36"/>
    <w:rsid w:val="00707C5A"/>
    <w:rsid w:val="0072238A"/>
    <w:rsid w:val="0074031F"/>
    <w:rsid w:val="00745DF1"/>
    <w:rsid w:val="00751492"/>
    <w:rsid w:val="0077166C"/>
    <w:rsid w:val="00774D0F"/>
    <w:rsid w:val="007A17E7"/>
    <w:rsid w:val="007D4A0B"/>
    <w:rsid w:val="007E1C5E"/>
    <w:rsid w:val="007E4481"/>
    <w:rsid w:val="007E547C"/>
    <w:rsid w:val="007E60E1"/>
    <w:rsid w:val="007F2CE0"/>
    <w:rsid w:val="007F300E"/>
    <w:rsid w:val="0081757C"/>
    <w:rsid w:val="00831FDE"/>
    <w:rsid w:val="00834031"/>
    <w:rsid w:val="00844EC8"/>
    <w:rsid w:val="00847F49"/>
    <w:rsid w:val="00861A1F"/>
    <w:rsid w:val="00862368"/>
    <w:rsid w:val="00884C12"/>
    <w:rsid w:val="008933BB"/>
    <w:rsid w:val="0089796D"/>
    <w:rsid w:val="008A7456"/>
    <w:rsid w:val="008C3E3E"/>
    <w:rsid w:val="008D2839"/>
    <w:rsid w:val="008E0077"/>
    <w:rsid w:val="008F31A4"/>
    <w:rsid w:val="008F45E4"/>
    <w:rsid w:val="008F6F0B"/>
    <w:rsid w:val="0090457C"/>
    <w:rsid w:val="00911F64"/>
    <w:rsid w:val="00914646"/>
    <w:rsid w:val="0091700A"/>
    <w:rsid w:val="00925A2B"/>
    <w:rsid w:val="00946F52"/>
    <w:rsid w:val="0095477E"/>
    <w:rsid w:val="00963F09"/>
    <w:rsid w:val="00967DFE"/>
    <w:rsid w:val="00973807"/>
    <w:rsid w:val="009773E9"/>
    <w:rsid w:val="00984578"/>
    <w:rsid w:val="00985C57"/>
    <w:rsid w:val="00994DD6"/>
    <w:rsid w:val="009A1A16"/>
    <w:rsid w:val="009B4C3D"/>
    <w:rsid w:val="009D1D2D"/>
    <w:rsid w:val="009D4FC0"/>
    <w:rsid w:val="009E0EDA"/>
    <w:rsid w:val="00A24C89"/>
    <w:rsid w:val="00A34713"/>
    <w:rsid w:val="00A378F4"/>
    <w:rsid w:val="00A563FA"/>
    <w:rsid w:val="00A56D64"/>
    <w:rsid w:val="00A70E3B"/>
    <w:rsid w:val="00A82975"/>
    <w:rsid w:val="00A846AD"/>
    <w:rsid w:val="00A96D01"/>
    <w:rsid w:val="00AB3037"/>
    <w:rsid w:val="00AE06A1"/>
    <w:rsid w:val="00AE5968"/>
    <w:rsid w:val="00AE7178"/>
    <w:rsid w:val="00B265EC"/>
    <w:rsid w:val="00B532A6"/>
    <w:rsid w:val="00B548E0"/>
    <w:rsid w:val="00B632BB"/>
    <w:rsid w:val="00B847CD"/>
    <w:rsid w:val="00BA3B63"/>
    <w:rsid w:val="00BC4D6C"/>
    <w:rsid w:val="00BC68F1"/>
    <w:rsid w:val="00BC726C"/>
    <w:rsid w:val="00BE4100"/>
    <w:rsid w:val="00BF35C9"/>
    <w:rsid w:val="00C371EC"/>
    <w:rsid w:val="00C42F64"/>
    <w:rsid w:val="00C53402"/>
    <w:rsid w:val="00C65151"/>
    <w:rsid w:val="00C656FC"/>
    <w:rsid w:val="00CA203E"/>
    <w:rsid w:val="00CA260C"/>
    <w:rsid w:val="00CA55A3"/>
    <w:rsid w:val="00CB0986"/>
    <w:rsid w:val="00CB74B9"/>
    <w:rsid w:val="00CD3A0A"/>
    <w:rsid w:val="00CD5A93"/>
    <w:rsid w:val="00CD65F8"/>
    <w:rsid w:val="00CD66B3"/>
    <w:rsid w:val="00CE61F4"/>
    <w:rsid w:val="00CF3C7E"/>
    <w:rsid w:val="00CF626E"/>
    <w:rsid w:val="00D31EBF"/>
    <w:rsid w:val="00D37FC0"/>
    <w:rsid w:val="00D40118"/>
    <w:rsid w:val="00D45612"/>
    <w:rsid w:val="00D467C2"/>
    <w:rsid w:val="00D50B4C"/>
    <w:rsid w:val="00D56B42"/>
    <w:rsid w:val="00D56C1E"/>
    <w:rsid w:val="00D60773"/>
    <w:rsid w:val="00D65BD2"/>
    <w:rsid w:val="00D7359F"/>
    <w:rsid w:val="00D82B1A"/>
    <w:rsid w:val="00D83706"/>
    <w:rsid w:val="00D91712"/>
    <w:rsid w:val="00DB15B9"/>
    <w:rsid w:val="00DB26E2"/>
    <w:rsid w:val="00DC7725"/>
    <w:rsid w:val="00DE5131"/>
    <w:rsid w:val="00DF5F03"/>
    <w:rsid w:val="00E00D03"/>
    <w:rsid w:val="00E02A6A"/>
    <w:rsid w:val="00E062B1"/>
    <w:rsid w:val="00E067CA"/>
    <w:rsid w:val="00E0760C"/>
    <w:rsid w:val="00E35C74"/>
    <w:rsid w:val="00E50C5E"/>
    <w:rsid w:val="00E513A3"/>
    <w:rsid w:val="00E53C98"/>
    <w:rsid w:val="00E719E4"/>
    <w:rsid w:val="00E727D4"/>
    <w:rsid w:val="00E73716"/>
    <w:rsid w:val="00E73EB1"/>
    <w:rsid w:val="00E90112"/>
    <w:rsid w:val="00E91FA1"/>
    <w:rsid w:val="00EB321B"/>
    <w:rsid w:val="00EB33DB"/>
    <w:rsid w:val="00EB35F7"/>
    <w:rsid w:val="00EC3AA7"/>
    <w:rsid w:val="00EC3EEE"/>
    <w:rsid w:val="00EC73F0"/>
    <w:rsid w:val="00F22347"/>
    <w:rsid w:val="00F42C51"/>
    <w:rsid w:val="00F46FDC"/>
    <w:rsid w:val="00F60D98"/>
    <w:rsid w:val="00F81936"/>
    <w:rsid w:val="00F8513A"/>
    <w:rsid w:val="00F908B5"/>
    <w:rsid w:val="00F94EEB"/>
    <w:rsid w:val="00FA2BD0"/>
    <w:rsid w:val="00FB1F93"/>
    <w:rsid w:val="00FC76DB"/>
    <w:rsid w:val="00FE3EF1"/>
    <w:rsid w:val="00FF0B59"/>
    <w:rsid w:val="00FF4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0AF68"/>
  <w15:docId w15:val="{490B4092-A926-4E4F-AC34-C59C13DF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8">
    <w:name w:val="heading 8"/>
    <w:basedOn w:val="Normal"/>
    <w:next w:val="Normal"/>
    <w:qFormat/>
    <w:pPr>
      <w:keepNext/>
      <w:numPr>
        <w:ilvl w:val="7"/>
        <w:numId w:val="1"/>
      </w:numPr>
      <w:jc w:val="center"/>
      <w:outlineLvl w:val="7"/>
    </w:pPr>
    <w:rPr>
      <w:rFonts w:ascii="Arial" w:hAnsi="Arial" w:cs="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CA55A3"/>
    <w:pPr>
      <w:ind w:left="708"/>
    </w:pPr>
  </w:style>
  <w:style w:type="paragraph" w:styleId="NormalWeb">
    <w:name w:val="Normal (Web)"/>
    <w:basedOn w:val="Normal"/>
    <w:rsid w:val="003604AA"/>
    <w:pPr>
      <w:suppressAutoHyphens w:val="0"/>
      <w:spacing w:before="100" w:beforeAutospacing="1" w:after="100" w:afterAutospacing="1"/>
    </w:pPr>
    <w:rPr>
      <w:lang w:eastAsia="es-ES"/>
    </w:rPr>
  </w:style>
  <w:style w:type="character" w:styleId="nfasis">
    <w:name w:val="Emphasis"/>
    <w:uiPriority w:val="99"/>
    <w:qFormat/>
    <w:rsid w:val="00A24C89"/>
    <w:rPr>
      <w:rFonts w:cs="Times New Roman"/>
      <w:i/>
      <w:iCs/>
    </w:rPr>
  </w:style>
  <w:style w:type="character" w:styleId="Hipervnculo">
    <w:name w:val="Hyperlink"/>
    <w:uiPriority w:val="99"/>
    <w:semiHidden/>
    <w:unhideWhenUsed/>
    <w:rsid w:val="00FF422A"/>
    <w:rPr>
      <w:color w:val="0000FF"/>
      <w:u w:val="single"/>
    </w:rPr>
  </w:style>
  <w:style w:type="character" w:customStyle="1" w:styleId="hps">
    <w:name w:val="hps"/>
    <w:basedOn w:val="Fuentedeprrafopredeter"/>
    <w:rsid w:val="00000C3E"/>
  </w:style>
  <w:style w:type="paragraph" w:styleId="Sangra2detindependiente">
    <w:name w:val="Body Text Indent 2"/>
    <w:basedOn w:val="Normal"/>
    <w:link w:val="Sangra2detindependienteCar"/>
    <w:uiPriority w:val="99"/>
    <w:semiHidden/>
    <w:unhideWhenUsed/>
    <w:rsid w:val="00000C3E"/>
    <w:pPr>
      <w:spacing w:after="120" w:line="480" w:lineRule="auto"/>
      <w:ind w:left="283"/>
    </w:pPr>
  </w:style>
  <w:style w:type="character" w:customStyle="1" w:styleId="Sangra2detindependienteCar">
    <w:name w:val="Sangría 2 de t. independiente Car"/>
    <w:link w:val="Sangra2detindependiente"/>
    <w:uiPriority w:val="99"/>
    <w:semiHidden/>
    <w:rsid w:val="00000C3E"/>
    <w:rPr>
      <w:sz w:val="24"/>
      <w:szCs w:val="24"/>
      <w:lang w:val="es-ES" w:eastAsia="ar-SA"/>
    </w:rPr>
  </w:style>
  <w:style w:type="paragraph" w:styleId="Textoindependiente2">
    <w:name w:val="Body Text 2"/>
    <w:basedOn w:val="Normal"/>
    <w:link w:val="Textoindependiente2Car"/>
    <w:uiPriority w:val="99"/>
    <w:semiHidden/>
    <w:unhideWhenUsed/>
    <w:rsid w:val="00000C3E"/>
    <w:pPr>
      <w:spacing w:after="120" w:line="480" w:lineRule="auto"/>
    </w:pPr>
  </w:style>
  <w:style w:type="character" w:customStyle="1" w:styleId="Textoindependiente2Car">
    <w:name w:val="Texto independiente 2 Car"/>
    <w:link w:val="Textoindependiente2"/>
    <w:uiPriority w:val="99"/>
    <w:semiHidden/>
    <w:rsid w:val="00000C3E"/>
    <w:rPr>
      <w:sz w:val="24"/>
      <w:szCs w:val="24"/>
      <w:lang w:val="es-ES" w:eastAsia="ar-SA"/>
    </w:rPr>
  </w:style>
  <w:style w:type="paragraph" w:styleId="Sangradetextonormal">
    <w:name w:val="Body Text Indent"/>
    <w:basedOn w:val="Normal"/>
    <w:link w:val="SangradetextonormalCar"/>
    <w:uiPriority w:val="99"/>
    <w:semiHidden/>
    <w:unhideWhenUsed/>
    <w:rsid w:val="00E719E4"/>
    <w:pPr>
      <w:spacing w:after="120"/>
      <w:ind w:left="283"/>
    </w:pPr>
  </w:style>
  <w:style w:type="character" w:customStyle="1" w:styleId="SangradetextonormalCar">
    <w:name w:val="Sangría de texto normal Car"/>
    <w:link w:val="Sangradetextonormal"/>
    <w:uiPriority w:val="99"/>
    <w:semiHidden/>
    <w:rsid w:val="00E719E4"/>
    <w:rPr>
      <w:sz w:val="24"/>
      <w:szCs w:val="24"/>
      <w:lang w:val="es-ES" w:eastAsia="ar-SA"/>
    </w:rPr>
  </w:style>
  <w:style w:type="paragraph" w:styleId="Sinespaciado">
    <w:name w:val="No Spacing"/>
    <w:uiPriority w:val="1"/>
    <w:qFormat/>
    <w:rsid w:val="00677F2B"/>
    <w:pPr>
      <w:suppressAutoHyphens/>
    </w:pPr>
    <w:rPr>
      <w:sz w:val="24"/>
      <w:szCs w:val="24"/>
      <w:lang w:eastAsia="ar-SA"/>
    </w:rPr>
  </w:style>
  <w:style w:type="paragraph" w:styleId="Textodeglobo">
    <w:name w:val="Balloon Text"/>
    <w:basedOn w:val="Normal"/>
    <w:link w:val="TextodegloboCar"/>
    <w:uiPriority w:val="99"/>
    <w:semiHidden/>
    <w:unhideWhenUsed/>
    <w:rsid w:val="00E90112"/>
    <w:rPr>
      <w:rFonts w:ascii="Segoe UI" w:hAnsi="Segoe UI" w:cs="Segoe UI"/>
      <w:sz w:val="18"/>
      <w:szCs w:val="18"/>
    </w:rPr>
  </w:style>
  <w:style w:type="character" w:customStyle="1" w:styleId="TextodegloboCar">
    <w:name w:val="Texto de globo Car"/>
    <w:link w:val="Textodeglobo"/>
    <w:uiPriority w:val="99"/>
    <w:semiHidden/>
    <w:rsid w:val="00E90112"/>
    <w:rPr>
      <w:rFonts w:ascii="Segoe UI" w:hAnsi="Segoe UI" w:cs="Segoe UI"/>
      <w:sz w:val="18"/>
      <w:szCs w:val="18"/>
      <w:lang w:val="es-ES" w:eastAsia="ar-SA"/>
    </w:rPr>
  </w:style>
  <w:style w:type="paragraph" w:customStyle="1" w:styleId="TableParagraph">
    <w:name w:val="Table Paragraph"/>
    <w:basedOn w:val="Normal"/>
    <w:uiPriority w:val="1"/>
    <w:qFormat/>
    <w:rsid w:val="00DB15B9"/>
    <w:pPr>
      <w:widowControl w:val="0"/>
      <w:suppressAutoHyphens w:val="0"/>
      <w:autoSpaceDE w:val="0"/>
      <w:autoSpaceDN w:val="0"/>
    </w:pPr>
    <w:rPr>
      <w:rFonts w:ascii="Arial" w:eastAsia="Arial" w:hAnsi="Arial" w:cs="Arial"/>
      <w:sz w:val="22"/>
      <w:szCs w:val="22"/>
      <w:lang w:val="en-US" w:eastAsia="en-US"/>
    </w:rPr>
  </w:style>
  <w:style w:type="character" w:styleId="Textodelmarcadordeposicin">
    <w:name w:val="Placeholder Text"/>
    <w:basedOn w:val="Fuentedeprrafopredeter"/>
    <w:uiPriority w:val="99"/>
    <w:semiHidden/>
    <w:rsid w:val="00324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RO-DLSyCV-514%20Analisis%20de%20Viabilidad%20al%20Tetrazolio%20JADIY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F491-C6B6-40A0-85A5-7B83EF18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PRO-DLSyCV-514 Analisis de Viabilidad al Tetrazolio JADIYI.dot</Template>
  <TotalTime>476</TotalTime>
  <Pages>1</Pages>
  <Words>1748</Words>
  <Characters>9969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INSTRUCTIVO PARA EL USO DEL pHMETRO</vt:lpstr>
    </vt:vector>
  </TitlesOfParts>
  <Company>SENAVE</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EL USO DEL pHMETRO</dc:title>
  <dc:subject/>
  <dc:creator>user</dc:creator>
  <cp:keywords/>
  <cp:lastModifiedBy>DELL</cp:lastModifiedBy>
  <cp:revision>23</cp:revision>
  <cp:lastPrinted>2023-08-29T12:01:00Z</cp:lastPrinted>
  <dcterms:created xsi:type="dcterms:W3CDTF">2021-04-07T06:55:00Z</dcterms:created>
  <dcterms:modified xsi:type="dcterms:W3CDTF">2023-08-29T12:02:00Z</dcterms:modified>
</cp:coreProperties>
</file>