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68" w:type="dxa"/>
        <w:tblLook w:val="04A0" w:firstRow="1" w:lastRow="0" w:firstColumn="1" w:lastColumn="0" w:noHBand="0" w:noVBand="1"/>
      </w:tblPr>
      <w:tblGrid>
        <w:gridCol w:w="6091"/>
        <w:gridCol w:w="4677"/>
      </w:tblGrid>
      <w:tr w:rsidR="003533C4" w:rsidRPr="00BF1802" w:rsidTr="00BF1802">
        <w:trPr>
          <w:cantSplit/>
        </w:trPr>
        <w:tc>
          <w:tcPr>
            <w:tcW w:w="0" w:type="auto"/>
            <w:gridSpan w:val="2"/>
            <w:shd w:val="clear" w:color="auto" w:fill="D9D9D9" w:themeFill="background1" w:themeFillShade="D9"/>
          </w:tcPr>
          <w:p w:rsidR="003533C4" w:rsidRPr="00BF1802" w:rsidRDefault="003533C4" w:rsidP="00EA68B8">
            <w:pPr>
              <w:pStyle w:val="Sinespaciado"/>
              <w:spacing w:after="120"/>
              <w:contextualSpacing/>
              <w:rPr>
                <w:rFonts w:ascii="Arial" w:hAnsi="Arial" w:cs="Arial"/>
                <w:b/>
                <w:sz w:val="24"/>
                <w:szCs w:val="24"/>
                <w:lang w:val="pt-BR"/>
              </w:rPr>
            </w:pPr>
            <w:r w:rsidRPr="00BF1802">
              <w:rPr>
                <w:rFonts w:ascii="Arial" w:hAnsi="Arial" w:cs="Arial"/>
                <w:b/>
                <w:sz w:val="24"/>
                <w:szCs w:val="24"/>
                <w:lang w:val="pt-BR"/>
              </w:rPr>
              <w:t>DATOS DEL SOLICITANTE</w:t>
            </w:r>
          </w:p>
        </w:tc>
      </w:tr>
      <w:tr w:rsidR="003533C4" w:rsidRPr="00BF1802" w:rsidTr="00BF1802">
        <w:trPr>
          <w:cantSplit/>
        </w:trPr>
        <w:tc>
          <w:tcPr>
            <w:tcW w:w="0" w:type="auto"/>
            <w:gridSpan w:val="2"/>
          </w:tcPr>
          <w:p w:rsidR="003533C4" w:rsidRPr="00BF1802" w:rsidRDefault="00DF1740" w:rsidP="00EA68B8">
            <w:pPr>
              <w:pStyle w:val="Sinespaciado"/>
              <w:spacing w:after="120"/>
              <w:contextualSpacing/>
              <w:rPr>
                <w:rFonts w:ascii="Arial" w:hAnsi="Arial" w:cs="Arial"/>
                <w:sz w:val="24"/>
                <w:szCs w:val="24"/>
                <w:lang w:val="pt-BR"/>
              </w:rPr>
            </w:pPr>
            <w:proofErr w:type="spellStart"/>
            <w:r>
              <w:rPr>
                <w:rFonts w:ascii="Arial" w:hAnsi="Arial" w:cs="Arial"/>
                <w:sz w:val="24"/>
                <w:szCs w:val="24"/>
                <w:lang w:val="pt-BR"/>
              </w:rPr>
              <w:t>Enti</w:t>
            </w:r>
            <w:r w:rsidR="003533C4" w:rsidRPr="00BF1802">
              <w:rPr>
                <w:rFonts w:ascii="Arial" w:hAnsi="Arial" w:cs="Arial"/>
                <w:sz w:val="24"/>
                <w:szCs w:val="24"/>
                <w:lang w:val="pt-BR"/>
              </w:rPr>
              <w:t>dad</w:t>
            </w:r>
            <w:proofErr w:type="spellEnd"/>
            <w:r w:rsidR="003533C4" w:rsidRPr="00BF1802">
              <w:rPr>
                <w:rFonts w:ascii="Arial" w:hAnsi="Arial" w:cs="Arial"/>
                <w:sz w:val="24"/>
                <w:szCs w:val="24"/>
                <w:lang w:val="pt-BR"/>
              </w:rPr>
              <w:t xml:space="preserve"> Comercial:</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r w:rsidRPr="00BF1802">
              <w:rPr>
                <w:rFonts w:ascii="Arial" w:hAnsi="Arial" w:cs="Arial"/>
                <w:sz w:val="24"/>
                <w:szCs w:val="24"/>
                <w:lang w:val="pt-BR"/>
              </w:rPr>
              <w:t>N° Registro SENAVE:</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r w:rsidRPr="00BF1802">
              <w:rPr>
                <w:rFonts w:ascii="Arial" w:hAnsi="Arial" w:cs="Arial"/>
                <w:sz w:val="24"/>
                <w:szCs w:val="24"/>
                <w:lang w:val="pt-BR"/>
              </w:rPr>
              <w:t>Categoria de Registro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proofErr w:type="spellStart"/>
            <w:r w:rsidRPr="00BF1802">
              <w:rPr>
                <w:rFonts w:ascii="Arial" w:hAnsi="Arial" w:cs="Arial"/>
                <w:sz w:val="24"/>
                <w:szCs w:val="24"/>
                <w:lang w:val="pt-BR"/>
              </w:rPr>
              <w:t>Direcci</w:t>
            </w:r>
            <w:bookmarkStart w:id="0" w:name="_GoBack"/>
            <w:bookmarkEnd w:id="0"/>
            <w:r w:rsidRPr="00BF1802">
              <w:rPr>
                <w:rFonts w:ascii="Arial" w:hAnsi="Arial" w:cs="Arial"/>
                <w:sz w:val="24"/>
                <w:szCs w:val="24"/>
                <w:lang w:val="pt-BR"/>
              </w:rPr>
              <w:t>ón</w:t>
            </w:r>
            <w:proofErr w:type="spellEnd"/>
            <w:r w:rsidRPr="00BF1802">
              <w:rPr>
                <w:rFonts w:ascii="Arial" w:hAnsi="Arial" w:cs="Arial"/>
                <w:sz w:val="24"/>
                <w:szCs w:val="24"/>
                <w:lang w:val="pt-BR"/>
              </w:rPr>
              <w:t>:</w:t>
            </w:r>
          </w:p>
        </w:tc>
      </w:tr>
      <w:tr w:rsidR="003533C4" w:rsidRPr="00BF1802" w:rsidTr="00BF1802">
        <w:trPr>
          <w:cantSplit/>
        </w:trPr>
        <w:tc>
          <w:tcPr>
            <w:tcW w:w="0" w:type="auto"/>
            <w:gridSpan w:val="2"/>
            <w:shd w:val="clear" w:color="auto" w:fill="D9D9D9" w:themeFill="background1" w:themeFillShade="D9"/>
          </w:tcPr>
          <w:p w:rsidR="003533C4" w:rsidRPr="00BF1802" w:rsidRDefault="003533C4" w:rsidP="00EA68B8">
            <w:pPr>
              <w:pStyle w:val="Sinespaciado"/>
              <w:spacing w:after="120"/>
              <w:contextualSpacing/>
              <w:rPr>
                <w:rFonts w:ascii="Arial" w:hAnsi="Arial" w:cs="Arial"/>
                <w:b/>
                <w:sz w:val="24"/>
                <w:szCs w:val="24"/>
                <w:lang w:val="pt-BR"/>
              </w:rPr>
            </w:pPr>
            <w:r w:rsidRPr="00BF1802">
              <w:rPr>
                <w:rFonts w:ascii="Arial" w:hAnsi="Arial" w:cs="Arial"/>
                <w:b/>
                <w:sz w:val="24"/>
                <w:szCs w:val="24"/>
                <w:lang w:val="pt-BR"/>
              </w:rPr>
              <w:t>DATOS DEL PRODUCTO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r w:rsidRPr="00BF1802">
              <w:rPr>
                <w:rFonts w:ascii="Arial" w:hAnsi="Arial" w:cs="Arial"/>
                <w:sz w:val="24"/>
                <w:szCs w:val="24"/>
                <w:lang w:val="pt-BR"/>
              </w:rPr>
              <w:t>Nombre Comercial:</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r w:rsidRPr="00BF1802">
              <w:rPr>
                <w:rFonts w:ascii="Arial" w:hAnsi="Arial" w:cs="Arial"/>
                <w:sz w:val="24"/>
                <w:szCs w:val="24"/>
                <w:lang w:val="pt-BR"/>
              </w:rPr>
              <w:t>Ingrediente Activo/ Concentración:</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Tipo de Formulación:</w:t>
            </w:r>
          </w:p>
        </w:tc>
      </w:tr>
      <w:tr w:rsidR="003533C4" w:rsidRPr="00BF1802" w:rsidTr="00BF1802">
        <w:trPr>
          <w:cantSplit/>
        </w:trPr>
        <w:tc>
          <w:tcPr>
            <w:tcW w:w="0" w:type="auto"/>
            <w:gridSpan w:val="2"/>
            <w:shd w:val="clear" w:color="auto" w:fill="D9D9D9" w:themeFill="background1" w:themeFillShade="D9"/>
          </w:tcPr>
          <w:p w:rsidR="003533C4" w:rsidRPr="00BF1802" w:rsidRDefault="003533C4" w:rsidP="00EA68B8">
            <w:pPr>
              <w:pStyle w:val="Sinespaciado"/>
              <w:spacing w:after="120"/>
              <w:contextualSpacing/>
              <w:rPr>
                <w:rFonts w:ascii="Arial" w:hAnsi="Arial" w:cs="Arial"/>
                <w:sz w:val="24"/>
                <w:szCs w:val="24"/>
              </w:rPr>
            </w:pP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Nombre del Laboratorio: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N° de Estudio: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Año: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Fabricante:</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Sponsor:</w:t>
            </w:r>
          </w:p>
        </w:tc>
      </w:tr>
      <w:tr w:rsidR="003533C4" w:rsidRPr="00BF1802" w:rsidTr="00BF1802">
        <w:trPr>
          <w:cantSplit/>
        </w:trPr>
        <w:tc>
          <w:tcPr>
            <w:tcW w:w="6091" w:type="dxa"/>
            <w:shd w:val="clear" w:color="auto" w:fill="D9D9D9" w:themeFill="background1" w:themeFillShade="D9"/>
          </w:tcPr>
          <w:p w:rsidR="003533C4" w:rsidRPr="00BF1802" w:rsidRDefault="003533C4" w:rsidP="00EA68B8">
            <w:pPr>
              <w:pStyle w:val="Sinespaciado"/>
              <w:spacing w:after="120"/>
              <w:contextualSpacing/>
              <w:jc w:val="center"/>
              <w:rPr>
                <w:rFonts w:ascii="Arial" w:hAnsi="Arial" w:cs="Arial"/>
                <w:b/>
                <w:sz w:val="24"/>
                <w:szCs w:val="24"/>
              </w:rPr>
            </w:pPr>
          </w:p>
        </w:tc>
        <w:tc>
          <w:tcPr>
            <w:tcW w:w="4677" w:type="dxa"/>
            <w:shd w:val="clear" w:color="auto" w:fill="D9D9D9" w:themeFill="background1" w:themeFillShade="D9"/>
          </w:tcPr>
          <w:p w:rsidR="003533C4" w:rsidRPr="00BF1802" w:rsidRDefault="003533C4" w:rsidP="00EA68B8">
            <w:pPr>
              <w:pStyle w:val="Sinespaciado"/>
              <w:spacing w:after="120"/>
              <w:contextualSpacing/>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b/>
                <w:sz w:val="24"/>
                <w:szCs w:val="24"/>
              </w:rPr>
            </w:pPr>
            <w:r w:rsidRPr="00BF1802">
              <w:rPr>
                <w:rFonts w:ascii="Arial" w:hAnsi="Arial" w:cs="Arial"/>
                <w:b/>
                <w:sz w:val="24"/>
                <w:szCs w:val="24"/>
              </w:rPr>
              <w:t>1.Identidad:</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1.1 Solicitante</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1.2 Fabricante</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1.3 Nombre común: aceptado por ISSO, o propuesto, en su orden, por BSI, ANSI, WSSA o el fabricante, hasta su aceptación o denominación por ISO. Indicar a cual corresponde.</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1.4  Sinónimos: Si los hubiere.</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1.5  Nombre Químico: Aceptado o propuesto por IUPAC.</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1.6  Número de código experimental asignado por el fabricante (cuando corresponda).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1.7  Fórmula empírica.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1.8  Fórmula estructural.</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1.9  Grupo Químico: De acuerdo con la clasificación vigente IUPAC.</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b/>
                <w:sz w:val="24"/>
                <w:szCs w:val="24"/>
              </w:rPr>
            </w:pPr>
            <w:r w:rsidRPr="00BF1802">
              <w:rPr>
                <w:rFonts w:ascii="Arial" w:hAnsi="Arial" w:cs="Arial"/>
                <w:b/>
                <w:sz w:val="24"/>
                <w:szCs w:val="24"/>
              </w:rPr>
              <w:t>2.  PROPIEDADES FÍSICAS Y QUÍMICAS.</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  Aspecto:</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2.1.1 Estado Físico</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2.1.2  Color</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lastRenderedPageBreak/>
              <w:t>2.1.3  Olor</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2.2  Punto de Fusión (sólidos a temperatura ambiente): Es la temperatura a la cual una sustancia cambia su estado físico de sólido a líquido</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2.3  Punto de Ebullición: (Líquidas a temperatura ambiente) OECD 103</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2.4  Densidad: OECCD 109 CIPAC MT3/ MT 58.4</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4A0BE1" w:rsidP="00EA68B8">
            <w:pPr>
              <w:pStyle w:val="Sinespaciado"/>
              <w:spacing w:after="120"/>
              <w:contextualSpacing/>
              <w:jc w:val="both"/>
              <w:rPr>
                <w:rFonts w:ascii="Arial" w:hAnsi="Arial" w:cs="Arial"/>
                <w:sz w:val="24"/>
                <w:szCs w:val="24"/>
              </w:rPr>
            </w:pPr>
            <w:r>
              <w:rPr>
                <w:rFonts w:ascii="Arial" w:hAnsi="Arial" w:cs="Arial"/>
                <w:sz w:val="24"/>
                <w:szCs w:val="24"/>
              </w:rPr>
              <w:t xml:space="preserve">2.5 </w:t>
            </w:r>
            <w:r w:rsidR="003533C4" w:rsidRPr="00BF1802">
              <w:rPr>
                <w:rFonts w:ascii="Arial" w:hAnsi="Arial" w:cs="Arial"/>
                <w:sz w:val="24"/>
                <w:szCs w:val="24"/>
              </w:rPr>
              <w:t xml:space="preserve">Presión de vapor: [Para sustancias con P.E. mayor o igual a TREINTA GRADOS CENTIGRADOS (30 </w:t>
            </w:r>
            <w:proofErr w:type="spellStart"/>
            <w:r w:rsidR="003533C4" w:rsidRPr="00BF1802">
              <w:rPr>
                <w:rFonts w:ascii="Arial" w:hAnsi="Arial" w:cs="Arial"/>
                <w:sz w:val="24"/>
                <w:szCs w:val="24"/>
              </w:rPr>
              <w:t>ºC</w:t>
            </w:r>
            <w:proofErr w:type="spellEnd"/>
            <w:r w:rsidR="003533C4" w:rsidRPr="00BF1802">
              <w:rPr>
                <w:rFonts w:ascii="Arial" w:hAnsi="Arial" w:cs="Arial"/>
                <w:sz w:val="24"/>
                <w:szCs w:val="24"/>
              </w:rPr>
              <w:t xml:space="preserve">)] La presión de vapor da idea de la transición de una sustancia de la fase liquida o sólida a la gaseosa. Constituye, junto con la solubilidad en agua, un auxiliar importante para evaluar la volatilidad de una sustancia presente en solución acuosa. Además, la presión de vapor es un factor significativo para pronosticar concentraciones atmosféricas de una sustancia dada. Los métodos propuestos por la bibliografía la determinan en diferentes rangos Resolución Nº 600/09: ANEXO “Requisitos para Registro Experimental”– 349 –y distintas temperaturas. Habrá que estudiar cada caso en particular, definir el método dinámico o estático, estudiar cada aparato propuesto (según el método) y la posibilidad de su implementación. Se la determina a 25 º C y en </w:t>
            </w:r>
            <w:proofErr w:type="spellStart"/>
            <w:r w:rsidR="003533C4" w:rsidRPr="00BF1802">
              <w:rPr>
                <w:rFonts w:ascii="Arial" w:hAnsi="Arial" w:cs="Arial"/>
                <w:sz w:val="24"/>
                <w:szCs w:val="24"/>
              </w:rPr>
              <w:t>mm.</w:t>
            </w:r>
            <w:proofErr w:type="spellEnd"/>
            <w:r w:rsidR="003533C4" w:rsidRPr="00BF1802">
              <w:rPr>
                <w:rFonts w:ascii="Arial" w:hAnsi="Arial" w:cs="Arial"/>
                <w:sz w:val="24"/>
                <w:szCs w:val="24"/>
              </w:rPr>
              <w:t xml:space="preserve"> Hg o Torr. OECD 104.</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2.6  Volatilidad: En virtud de la diversidad de factores que afectan su evaluación, se la asocia a la presión de vapor o a la constante de la ley de Henry.</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2.7  Solubilidad en agua: OECD 105; CIPAC MT 157.1 y 157.2</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2.8  Solubilidad en solventes orgánicos: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4A0BE1" w:rsidP="00EA68B8">
            <w:pPr>
              <w:pStyle w:val="Sinespaciado"/>
              <w:spacing w:after="120"/>
              <w:contextualSpacing/>
              <w:jc w:val="both"/>
              <w:rPr>
                <w:rFonts w:ascii="Arial" w:hAnsi="Arial" w:cs="Arial"/>
                <w:sz w:val="24"/>
                <w:szCs w:val="24"/>
              </w:rPr>
            </w:pPr>
            <w:r>
              <w:rPr>
                <w:rFonts w:ascii="Arial" w:hAnsi="Arial" w:cs="Arial"/>
                <w:sz w:val="24"/>
                <w:szCs w:val="24"/>
              </w:rPr>
              <w:t xml:space="preserve">2.9 </w:t>
            </w:r>
            <w:r w:rsidR="003533C4" w:rsidRPr="00BF1802">
              <w:rPr>
                <w:rFonts w:ascii="Arial" w:hAnsi="Arial" w:cs="Arial"/>
                <w:sz w:val="24"/>
                <w:szCs w:val="24"/>
              </w:rPr>
              <w:t>Coeficiente de partición en n-octanol/agua: (Si la sustancia activa es un compuesto orgánico, no polar y la solubilidad en agua sea mayor a UN (1) µg/ ml).</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 xml:space="preserve"> El coeficiente de partición de una sustancia entre el agua y un solvente </w:t>
            </w:r>
            <w:proofErr w:type="spellStart"/>
            <w:r w:rsidRPr="00BF1802">
              <w:rPr>
                <w:rFonts w:ascii="Arial" w:hAnsi="Arial" w:cs="Arial"/>
                <w:sz w:val="24"/>
                <w:szCs w:val="24"/>
              </w:rPr>
              <w:t>lipofílico</w:t>
            </w:r>
            <w:proofErr w:type="spellEnd"/>
            <w:r w:rsidRPr="00BF1802">
              <w:rPr>
                <w:rFonts w:ascii="Arial" w:hAnsi="Arial" w:cs="Arial"/>
                <w:sz w:val="24"/>
                <w:szCs w:val="24"/>
              </w:rPr>
              <w:t xml:space="preserve"> como el n-octanol, es una variable que permite describir la transferencia de una sustancia del medio acuático a un organismo y consecuentemente, la potencial bioacumulación en el mismo. OECD 107, OECD 117, FIFRA 63-11.</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4A0BE1" w:rsidP="00EA68B8">
            <w:pPr>
              <w:pStyle w:val="Sinespaciado"/>
              <w:spacing w:after="120"/>
              <w:contextualSpacing/>
              <w:jc w:val="both"/>
              <w:rPr>
                <w:rFonts w:ascii="Arial" w:hAnsi="Arial" w:cs="Arial"/>
                <w:sz w:val="24"/>
                <w:szCs w:val="24"/>
              </w:rPr>
            </w:pPr>
            <w:r>
              <w:rPr>
                <w:rFonts w:ascii="Arial" w:hAnsi="Arial" w:cs="Arial"/>
                <w:sz w:val="24"/>
                <w:szCs w:val="24"/>
              </w:rPr>
              <w:t xml:space="preserve">2.10 </w:t>
            </w:r>
            <w:r w:rsidR="003533C4" w:rsidRPr="00BF1802">
              <w:rPr>
                <w:rFonts w:ascii="Arial" w:hAnsi="Arial" w:cs="Arial"/>
                <w:sz w:val="24"/>
                <w:szCs w:val="24"/>
              </w:rPr>
              <w:t>Estabilidad en agua: Esto es “hidrólisis como función del pH”. La hidrólisis es una de las reacciones más comunes que controlan la degradación abiótica y es por lo tanto una de las principales causas de la degradación de sustancias en el ambiente. OECD 111</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lastRenderedPageBreak/>
              <w:t xml:space="preserve">2.11  Inflamabilidad: Es la temperatura mínima a la cual, en condiciones normalizadas, los vapores presentes en la superficie de un líquido se inflaman al </w:t>
            </w:r>
            <w:proofErr w:type="spellStart"/>
            <w:r w:rsidRPr="00BF1802">
              <w:rPr>
                <w:rFonts w:ascii="Arial" w:hAnsi="Arial" w:cs="Arial"/>
                <w:sz w:val="24"/>
                <w:szCs w:val="24"/>
              </w:rPr>
              <w:t>proximar</w:t>
            </w:r>
            <w:proofErr w:type="spellEnd"/>
            <w:r w:rsidRPr="00BF1802">
              <w:rPr>
                <w:rFonts w:ascii="Arial" w:hAnsi="Arial" w:cs="Arial"/>
                <w:sz w:val="24"/>
                <w:szCs w:val="24"/>
              </w:rPr>
              <w:t xml:space="preserve"> la llama de ensayo, sin que prosiga la </w:t>
            </w:r>
            <w:proofErr w:type="spellStart"/>
            <w:r w:rsidRPr="00BF1802">
              <w:rPr>
                <w:rFonts w:ascii="Arial" w:hAnsi="Arial" w:cs="Arial"/>
                <w:sz w:val="24"/>
                <w:szCs w:val="24"/>
              </w:rPr>
              <w:t>combustión.CIPAC</w:t>
            </w:r>
            <w:proofErr w:type="spellEnd"/>
            <w:r w:rsidRPr="00BF1802">
              <w:rPr>
                <w:rFonts w:ascii="Arial" w:hAnsi="Arial" w:cs="Arial"/>
                <w:sz w:val="24"/>
                <w:szCs w:val="24"/>
              </w:rPr>
              <w:t xml:space="preserve"> MT 12.</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2.12  Tensión superficial: OECD 115 EEC A5.</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2.13  Propiedades explosivas: EEC A. 14; FIFRA 63-16 (</w:t>
            </w:r>
            <w:proofErr w:type="spellStart"/>
            <w:r w:rsidRPr="00BF1802">
              <w:rPr>
                <w:rFonts w:ascii="Arial" w:hAnsi="Arial" w:cs="Arial"/>
                <w:sz w:val="24"/>
                <w:szCs w:val="24"/>
              </w:rPr>
              <w:t>Termocalorimetría</w:t>
            </w:r>
            <w:proofErr w:type="spellEnd"/>
            <w:r w:rsidRPr="00BF1802">
              <w:rPr>
                <w:rFonts w:ascii="Arial" w:hAnsi="Arial" w:cs="Arial"/>
                <w:sz w:val="24"/>
                <w:szCs w:val="24"/>
              </w:rPr>
              <w:t xml:space="preserve"> diferencial).</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4A0BE1" w:rsidP="00EA68B8">
            <w:pPr>
              <w:pStyle w:val="Sinespaciado"/>
              <w:spacing w:after="120"/>
              <w:contextualSpacing/>
              <w:jc w:val="both"/>
              <w:rPr>
                <w:rFonts w:ascii="Arial" w:hAnsi="Arial" w:cs="Arial"/>
                <w:sz w:val="24"/>
                <w:szCs w:val="24"/>
              </w:rPr>
            </w:pPr>
            <w:r>
              <w:rPr>
                <w:rFonts w:ascii="Arial" w:hAnsi="Arial" w:cs="Arial"/>
                <w:sz w:val="24"/>
                <w:szCs w:val="24"/>
              </w:rPr>
              <w:t xml:space="preserve">2.14 </w:t>
            </w:r>
            <w:r w:rsidR="003533C4" w:rsidRPr="00BF1802">
              <w:rPr>
                <w:rFonts w:ascii="Arial" w:hAnsi="Arial" w:cs="Arial"/>
                <w:sz w:val="24"/>
                <w:szCs w:val="24"/>
              </w:rPr>
              <w:t>Propiedades oxidantes (corrosividad): EEC A17; FIFRA 63-20. Se efectuará con distintos materiales posibles de ser corroídos, por Ej.: cobre, hierro, latón, etc.</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2.15  Reactividad con el material del envase: FIFRA 63-20.</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2.16  pH: (Si la sustancia activa grado técnico es soluble o dispersable en agua): CIPAC MT 75;FIFRA 63</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4A0BE1" w:rsidP="00EA68B8">
            <w:pPr>
              <w:pStyle w:val="Sinespaciado"/>
              <w:spacing w:after="120"/>
              <w:contextualSpacing/>
              <w:jc w:val="both"/>
              <w:rPr>
                <w:rFonts w:ascii="Arial" w:hAnsi="Arial" w:cs="Arial"/>
                <w:sz w:val="24"/>
                <w:szCs w:val="24"/>
              </w:rPr>
            </w:pPr>
            <w:r>
              <w:rPr>
                <w:rFonts w:ascii="Arial" w:hAnsi="Arial" w:cs="Arial"/>
                <w:sz w:val="24"/>
                <w:szCs w:val="24"/>
              </w:rPr>
              <w:t xml:space="preserve">2.17 </w:t>
            </w:r>
            <w:r w:rsidR="003533C4" w:rsidRPr="00BF1802">
              <w:rPr>
                <w:rFonts w:ascii="Arial" w:hAnsi="Arial" w:cs="Arial"/>
                <w:sz w:val="24"/>
                <w:szCs w:val="24"/>
              </w:rPr>
              <w:t>Constante de disociación en agua: (Sólo para las sustancias que se disocian en agua). La disociación de una sustancia química en agua nos da una medida del impacto de la misma en el ambiente. Afecta la absorción de la sustancia en suelos y sedimentos, también en células biológicas. OECD 112; FIFRA 63-10.</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2.18 Viscosidad: (para sustancias líquidas). La viscosidad de fluidos es ambientalmente relevante debido a la penetración de los mismos en el suelo y el posible efecto nocivo que, ello, pueda provocar en la napa de agua.</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 xml:space="preserve"> Cuanto menor es la viscosidad, </w:t>
            </w:r>
            <w:r w:rsidR="004A0BE1" w:rsidRPr="00BF1802">
              <w:rPr>
                <w:rFonts w:ascii="Arial" w:hAnsi="Arial" w:cs="Arial"/>
                <w:sz w:val="24"/>
                <w:szCs w:val="24"/>
              </w:rPr>
              <w:t>más</w:t>
            </w:r>
            <w:r w:rsidRPr="00BF1802">
              <w:rPr>
                <w:rFonts w:ascii="Arial" w:hAnsi="Arial" w:cs="Arial"/>
                <w:sz w:val="24"/>
                <w:szCs w:val="24"/>
              </w:rPr>
              <w:t xml:space="preserve"> fácilmente penetra el fluido en el suelo. CIPAC MT 22</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b/>
                <w:sz w:val="24"/>
                <w:szCs w:val="24"/>
              </w:rPr>
              <w:t>3.  ASPECTOS RELACIONADOS A SU USO</w:t>
            </w:r>
            <w:r w:rsidRPr="00BF1802">
              <w:rPr>
                <w:rFonts w:ascii="Arial" w:hAnsi="Arial" w:cs="Arial"/>
                <w:sz w:val="24"/>
                <w:szCs w:val="24"/>
              </w:rPr>
              <w:t>.</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3.1.  Aptitud.</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3.2.  Efecto sobre los organismos-plaga (Ej.: tóxico por inhalación, contacto, sistémico u otras formas).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b/>
                <w:sz w:val="24"/>
                <w:szCs w:val="24"/>
              </w:rPr>
            </w:pPr>
            <w:r w:rsidRPr="00BF1802">
              <w:rPr>
                <w:rFonts w:ascii="Arial" w:hAnsi="Arial" w:cs="Arial"/>
                <w:b/>
                <w:sz w:val="24"/>
                <w:szCs w:val="24"/>
              </w:rPr>
              <w:t>4. ESTUDIOS DE EFECTOS TÓXICOS EN ESPECIES MAMÍFERAS.</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  Toxicidad Aguda.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4.1.1.  Oral</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4.1.2.  Dérmica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4.1.3.  Inhalatoria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4.1.4.  Irritación cutánea y ocular</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 xml:space="preserve">4.1.4.1.  Irritación cutánea. </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lastRenderedPageBreak/>
              <w:t>4.1.4.2.  Irritación ocular. Este estudio se requerirá a menos que la sustancia activa grado técnico es corrosiva para la piel o presenta un pH menor a DOS (2) o mayor a once con cinco (11,5)</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4.1.5.  Sensibilización cutánea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 xml:space="preserve">4.2  Toxicidad </w:t>
            </w:r>
            <w:proofErr w:type="spellStart"/>
            <w:r w:rsidRPr="00BF1802">
              <w:rPr>
                <w:rFonts w:ascii="Arial" w:hAnsi="Arial" w:cs="Arial"/>
                <w:sz w:val="24"/>
                <w:szCs w:val="24"/>
              </w:rPr>
              <w:t>subcrónica</w:t>
            </w:r>
            <w:proofErr w:type="spellEnd"/>
            <w:r w:rsidRPr="00BF1802">
              <w:rPr>
                <w:rFonts w:ascii="Arial" w:hAnsi="Arial" w:cs="Arial"/>
                <w:sz w:val="24"/>
                <w:szCs w:val="24"/>
              </w:rPr>
              <w:t xml:space="preserve"> (corto plazo/medio plazo)</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4.3 Mutagenicidad: Mutación genética (test de Ames u otros). Un estudio inicial de Mutagenicidad es requerido mínimamente. Estudios subsiguientes pueden o no ser requeridos de acuerdo con el propósito del estudio de mutagénesis.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b/>
                <w:sz w:val="24"/>
                <w:szCs w:val="24"/>
              </w:rPr>
              <w:t>5. INFORMACIÓN MÉDICA OBLIGATORIA</w:t>
            </w:r>
            <w:r w:rsidRPr="00BF1802">
              <w:rPr>
                <w:rFonts w:ascii="Arial" w:hAnsi="Arial" w:cs="Arial"/>
                <w:sz w:val="24"/>
                <w:szCs w:val="24"/>
              </w:rPr>
              <w:t>:</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5.5.1. Tratamientos propuestos: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5.5.1.1. Primeros auxilios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5.5.1.2. Tratamiento médico</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5.5.1.3. Antídotos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bl>
    <w:p w:rsidR="002A303B" w:rsidRPr="00BF1802" w:rsidRDefault="002A303B" w:rsidP="002A303B">
      <w:pPr>
        <w:pStyle w:val="Sinespaciado"/>
        <w:contextualSpacing/>
        <w:rPr>
          <w:rFonts w:ascii="Arial" w:hAnsi="Arial" w:cs="Arial"/>
          <w:sz w:val="24"/>
          <w:szCs w:val="24"/>
        </w:rPr>
      </w:pPr>
      <w:r w:rsidRPr="00BF1802">
        <w:rPr>
          <w:rFonts w:ascii="Arial" w:hAnsi="Arial" w:cs="Arial"/>
          <w:sz w:val="24"/>
          <w:szCs w:val="24"/>
        </w:rPr>
        <w:t>Observación: Corresponden a la 2da ETAPA de entrega de documentos, lo siguiente: Propiedades químicas y físicas: ítem: 2.5, 2.6, 2.9, 2.10, 2.12, 2.13, 2.14, 2.15, 2.16, 2.17, 2.18; Estudios de efectos tóxicos en especies mamíferos: Completo; Información médica obligatoria: Completo.</w:t>
      </w:r>
    </w:p>
    <w:p w:rsidR="002A303B" w:rsidRPr="00BF1802" w:rsidRDefault="002A303B" w:rsidP="002A303B">
      <w:pPr>
        <w:pStyle w:val="Sinespaciado"/>
        <w:contextualSpacing/>
        <w:rPr>
          <w:rFonts w:ascii="Arial" w:hAnsi="Arial" w:cs="Arial"/>
          <w:b/>
          <w:sz w:val="24"/>
          <w:szCs w:val="24"/>
        </w:rPr>
      </w:pPr>
    </w:p>
    <w:p w:rsidR="002A303B" w:rsidRPr="00BF1802" w:rsidRDefault="002A303B" w:rsidP="002A303B">
      <w:pPr>
        <w:pStyle w:val="Sinespaciado"/>
        <w:contextualSpacing/>
        <w:rPr>
          <w:rFonts w:ascii="Arial" w:hAnsi="Arial" w:cs="Arial"/>
          <w:b/>
          <w:sz w:val="24"/>
          <w:szCs w:val="24"/>
        </w:rPr>
      </w:pPr>
    </w:p>
    <w:p w:rsidR="005C19D9" w:rsidRPr="00BF1802" w:rsidRDefault="005C19D9" w:rsidP="002A303B">
      <w:pPr>
        <w:pStyle w:val="Sinespaciado"/>
        <w:contextualSpacing/>
        <w:rPr>
          <w:rFonts w:ascii="Arial" w:hAnsi="Arial" w:cs="Arial"/>
          <w:b/>
          <w:sz w:val="24"/>
          <w:szCs w:val="24"/>
        </w:rPr>
      </w:pPr>
    </w:p>
    <w:p w:rsidR="005C19D9" w:rsidRPr="00BF1802" w:rsidRDefault="005C19D9" w:rsidP="002A303B">
      <w:pPr>
        <w:pStyle w:val="Sinespaciado"/>
        <w:contextualSpacing/>
        <w:rPr>
          <w:rFonts w:ascii="Arial" w:hAnsi="Arial" w:cs="Arial"/>
          <w:b/>
          <w:sz w:val="24"/>
          <w:szCs w:val="24"/>
        </w:rPr>
      </w:pPr>
    </w:p>
    <w:p w:rsidR="005C19D9" w:rsidRPr="00BF1802" w:rsidRDefault="005C19D9" w:rsidP="002A303B">
      <w:pPr>
        <w:pStyle w:val="Sinespaciado"/>
        <w:contextualSpacing/>
        <w:rPr>
          <w:rFonts w:ascii="Arial" w:hAnsi="Arial" w:cs="Arial"/>
          <w:b/>
          <w:sz w:val="24"/>
          <w:szCs w:val="24"/>
        </w:rPr>
      </w:pPr>
    </w:p>
    <w:p w:rsidR="005C19D9" w:rsidRPr="00BF1802" w:rsidRDefault="005C19D9" w:rsidP="002A303B">
      <w:pPr>
        <w:pStyle w:val="Sinespaciado"/>
        <w:contextualSpacing/>
        <w:rPr>
          <w:rFonts w:ascii="Arial" w:hAnsi="Arial" w:cs="Arial"/>
          <w:b/>
          <w:sz w:val="24"/>
          <w:szCs w:val="24"/>
        </w:rPr>
      </w:pPr>
    </w:p>
    <w:p w:rsidR="002A303B" w:rsidRPr="00BF1802" w:rsidRDefault="002A303B" w:rsidP="002A303B">
      <w:pPr>
        <w:pStyle w:val="Sinespaciado"/>
        <w:contextualSpacing/>
        <w:rPr>
          <w:rFonts w:ascii="Arial" w:hAnsi="Arial" w:cs="Arial"/>
          <w:b/>
          <w:sz w:val="24"/>
          <w:szCs w:val="24"/>
        </w:rPr>
      </w:pPr>
    </w:p>
    <w:p w:rsidR="002A303B" w:rsidRPr="00BF1802" w:rsidRDefault="002A303B" w:rsidP="002A303B">
      <w:pPr>
        <w:pStyle w:val="Sinespaciado"/>
        <w:contextualSpacing/>
        <w:jc w:val="center"/>
        <w:rPr>
          <w:rFonts w:ascii="Arial" w:hAnsi="Arial" w:cs="Arial"/>
          <w:b/>
          <w:sz w:val="24"/>
          <w:szCs w:val="24"/>
        </w:rPr>
      </w:pPr>
      <w:r w:rsidRPr="00BF1802">
        <w:rPr>
          <w:rFonts w:ascii="Arial" w:hAnsi="Arial" w:cs="Arial"/>
          <w:b/>
          <w:sz w:val="24"/>
          <w:szCs w:val="24"/>
        </w:rPr>
        <w:t xml:space="preserve">-----------------------------------------              </w:t>
      </w:r>
      <w:r w:rsidR="00BF1802">
        <w:rPr>
          <w:rFonts w:ascii="Arial" w:hAnsi="Arial" w:cs="Arial"/>
          <w:b/>
          <w:sz w:val="24"/>
          <w:szCs w:val="24"/>
        </w:rPr>
        <w:t xml:space="preserve">                          </w:t>
      </w:r>
      <w:r w:rsidRPr="00BF1802">
        <w:rPr>
          <w:rFonts w:ascii="Arial" w:hAnsi="Arial" w:cs="Arial"/>
          <w:b/>
          <w:sz w:val="24"/>
          <w:szCs w:val="24"/>
        </w:rPr>
        <w:t>------------------------------------------</w:t>
      </w:r>
    </w:p>
    <w:p w:rsidR="002A303B" w:rsidRPr="00BF1802" w:rsidRDefault="002A303B" w:rsidP="002A303B">
      <w:pPr>
        <w:pStyle w:val="Sinespaciado"/>
        <w:contextualSpacing/>
        <w:jc w:val="center"/>
        <w:rPr>
          <w:rFonts w:ascii="Arial" w:hAnsi="Arial" w:cs="Arial"/>
          <w:b/>
          <w:sz w:val="24"/>
          <w:szCs w:val="24"/>
        </w:rPr>
      </w:pPr>
      <w:r w:rsidRPr="00BF1802">
        <w:rPr>
          <w:rFonts w:ascii="Arial" w:hAnsi="Arial" w:cs="Arial"/>
          <w:b/>
          <w:sz w:val="24"/>
          <w:szCs w:val="24"/>
        </w:rPr>
        <w:t>Firma y Aclaración del                                                        Firma y Aclaración del</w:t>
      </w:r>
    </w:p>
    <w:p w:rsidR="002A303B" w:rsidRPr="00BF1802" w:rsidRDefault="002A303B" w:rsidP="002A303B">
      <w:pPr>
        <w:pStyle w:val="Sinespaciado"/>
        <w:contextualSpacing/>
        <w:jc w:val="center"/>
        <w:rPr>
          <w:rFonts w:ascii="Arial" w:hAnsi="Arial" w:cs="Arial"/>
          <w:b/>
          <w:sz w:val="24"/>
          <w:szCs w:val="24"/>
        </w:rPr>
      </w:pPr>
      <w:r w:rsidRPr="00BF1802">
        <w:rPr>
          <w:rFonts w:ascii="Arial" w:hAnsi="Arial" w:cs="Arial"/>
          <w:b/>
          <w:sz w:val="24"/>
          <w:szCs w:val="24"/>
        </w:rPr>
        <w:t>Asesor Técnico</w:t>
      </w:r>
      <w:r w:rsidRPr="00BF1802">
        <w:rPr>
          <w:rFonts w:ascii="Arial" w:hAnsi="Arial" w:cs="Arial"/>
          <w:b/>
          <w:sz w:val="24"/>
          <w:szCs w:val="24"/>
        </w:rPr>
        <w:tab/>
      </w:r>
      <w:r w:rsidRPr="00BF1802">
        <w:rPr>
          <w:rFonts w:ascii="Arial" w:hAnsi="Arial" w:cs="Arial"/>
          <w:b/>
          <w:sz w:val="24"/>
          <w:szCs w:val="24"/>
        </w:rPr>
        <w:tab/>
      </w:r>
      <w:r w:rsidRPr="00BF1802">
        <w:rPr>
          <w:rFonts w:ascii="Arial" w:hAnsi="Arial" w:cs="Arial"/>
          <w:b/>
          <w:sz w:val="24"/>
          <w:szCs w:val="24"/>
        </w:rPr>
        <w:tab/>
      </w:r>
      <w:r w:rsidRPr="00BF1802">
        <w:rPr>
          <w:rFonts w:ascii="Arial" w:hAnsi="Arial" w:cs="Arial"/>
          <w:b/>
          <w:sz w:val="24"/>
          <w:szCs w:val="24"/>
        </w:rPr>
        <w:tab/>
      </w:r>
      <w:r w:rsidRPr="00BF1802">
        <w:rPr>
          <w:rFonts w:ascii="Arial" w:hAnsi="Arial" w:cs="Arial"/>
          <w:b/>
          <w:sz w:val="24"/>
          <w:szCs w:val="24"/>
        </w:rPr>
        <w:tab/>
        <w:t xml:space="preserve">          Representante Legal</w:t>
      </w:r>
    </w:p>
    <w:p w:rsidR="00355CC1" w:rsidRPr="00BF1802" w:rsidRDefault="00355CC1" w:rsidP="002A303B">
      <w:pPr>
        <w:spacing w:before="240"/>
        <w:ind w:hanging="142"/>
        <w:jc w:val="center"/>
        <w:rPr>
          <w:rFonts w:ascii="Arial" w:hAnsi="Arial" w:cs="Arial"/>
          <w:sz w:val="24"/>
          <w:szCs w:val="24"/>
          <w:lang w:val="es-PY"/>
        </w:rPr>
      </w:pPr>
    </w:p>
    <w:sectPr w:rsidR="00355CC1" w:rsidRPr="00BF1802" w:rsidSect="00227AD8">
      <w:headerReference w:type="default" r:id="rId8"/>
      <w:pgSz w:w="11907" w:h="16839" w:code="9"/>
      <w:pgMar w:top="1417" w:right="1701"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57" w:rsidRDefault="00060357" w:rsidP="00CF2CE6">
      <w:r>
        <w:separator/>
      </w:r>
    </w:p>
  </w:endnote>
  <w:endnote w:type="continuationSeparator" w:id="0">
    <w:p w:rsidR="00060357" w:rsidRDefault="00060357"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57" w:rsidRDefault="00060357" w:rsidP="00CF2CE6">
      <w:r>
        <w:separator/>
      </w:r>
    </w:p>
  </w:footnote>
  <w:footnote w:type="continuationSeparator" w:id="0">
    <w:p w:rsidR="00060357" w:rsidRDefault="00060357" w:rsidP="00CF2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DF1740" w:rsidRPr="00DF1740"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rsidR="00C04964" w:rsidRPr="00DF1740" w:rsidRDefault="00C04964" w:rsidP="0024526A">
          <w:pPr>
            <w:spacing w:line="259" w:lineRule="auto"/>
            <w:rPr>
              <w:rFonts w:ascii="Arial" w:hAnsi="Arial" w:cs="Arial"/>
              <w:color w:val="auto"/>
              <w:sz w:val="24"/>
              <w:szCs w:val="24"/>
            </w:rPr>
          </w:pPr>
          <w:r w:rsidRPr="00DF1740">
            <w:rPr>
              <w:rFonts w:ascii="Arial" w:hAnsi="Arial" w:cs="Arial"/>
              <w:noProof/>
              <w:color w:val="auto"/>
              <w:sz w:val="24"/>
              <w:szCs w:val="24"/>
              <w:lang w:val="es-PY" w:eastAsia="es-PY"/>
            </w:rPr>
            <w:drawing>
              <wp:anchor distT="0" distB="0" distL="114300" distR="114300" simplePos="0" relativeHeight="251659264" behindDoc="1" locked="0" layoutInCell="1" allowOverlap="1" wp14:anchorId="5585E51D" wp14:editId="0CB37DAD">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DF1740">
            <w:rPr>
              <w:rFonts w:ascii="Arial" w:hAnsi="Arial" w:cs="Arial"/>
              <w:color w:val="auto"/>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C04964" w:rsidRPr="00DF1740" w:rsidRDefault="00C04964" w:rsidP="0024526A">
          <w:pPr>
            <w:spacing w:line="259" w:lineRule="auto"/>
            <w:ind w:left="3"/>
            <w:jc w:val="center"/>
            <w:rPr>
              <w:rFonts w:ascii="Arial" w:hAnsi="Arial" w:cs="Arial"/>
              <w:color w:val="auto"/>
              <w:sz w:val="24"/>
              <w:szCs w:val="24"/>
            </w:rPr>
          </w:pPr>
          <w:r w:rsidRPr="00DF1740">
            <w:rPr>
              <w:rFonts w:ascii="Arial" w:hAnsi="Arial" w:cs="Arial"/>
              <w:b/>
              <w:color w:val="auto"/>
              <w:sz w:val="24"/>
              <w:szCs w:val="24"/>
              <w:lang w:val="es-PY"/>
            </w:rPr>
            <w:t xml:space="preserve">ANEXO I. RESUMEN. </w:t>
          </w:r>
          <w:r w:rsidRPr="00DF1740">
            <w:rPr>
              <w:rFonts w:ascii="Arial" w:hAnsi="Arial" w:cs="Arial"/>
              <w:color w:val="auto"/>
              <w:sz w:val="24"/>
              <w:szCs w:val="24"/>
              <w:lang w:val="es-PY"/>
            </w:rPr>
            <w:t>ESTUDIOS SOLICITADOS EN EL CUERPO III – CUERPO TÉCNICO, PARA EL REGISTRO DE SUSTANCIA ACTIVA QUÍMICA Y BIOQUÍMICA NUEVA SIN ANTECEDENTES DE USO</w:t>
          </w:r>
        </w:p>
      </w:tc>
      <w:tc>
        <w:tcPr>
          <w:tcW w:w="3327" w:type="dxa"/>
          <w:tcBorders>
            <w:top w:val="single" w:sz="2" w:space="0" w:color="000000"/>
            <w:left w:val="single" w:sz="2" w:space="0" w:color="000000"/>
            <w:bottom w:val="single" w:sz="2" w:space="0" w:color="000000"/>
            <w:right w:val="single" w:sz="2" w:space="0" w:color="000000"/>
          </w:tcBorders>
        </w:tcPr>
        <w:p w:rsidR="00C04964" w:rsidRPr="00DF1740" w:rsidRDefault="00C04964" w:rsidP="0024526A">
          <w:pPr>
            <w:spacing w:line="259" w:lineRule="auto"/>
            <w:ind w:left="96"/>
            <w:rPr>
              <w:rFonts w:ascii="Arial" w:hAnsi="Arial" w:cs="Arial"/>
              <w:color w:val="auto"/>
              <w:sz w:val="24"/>
              <w:szCs w:val="24"/>
            </w:rPr>
          </w:pPr>
          <w:r w:rsidRPr="00DF1740">
            <w:rPr>
              <w:rFonts w:ascii="Arial" w:eastAsia="Arial" w:hAnsi="Arial" w:cs="Arial"/>
              <w:color w:val="auto"/>
              <w:sz w:val="24"/>
              <w:szCs w:val="24"/>
            </w:rPr>
            <w:t xml:space="preserve">Código: </w:t>
          </w:r>
          <w:r w:rsidRPr="00DF1740">
            <w:rPr>
              <w:rFonts w:ascii="Arial" w:hAnsi="Arial" w:cs="Arial"/>
              <w:color w:val="auto"/>
              <w:sz w:val="24"/>
              <w:szCs w:val="24"/>
            </w:rPr>
            <w:t>FOR-</w:t>
          </w:r>
          <w:r w:rsidR="001012E8" w:rsidRPr="00DF1740">
            <w:rPr>
              <w:rFonts w:ascii="Arial" w:hAnsi="Arial" w:cs="Arial"/>
              <w:color w:val="auto"/>
              <w:sz w:val="24"/>
              <w:szCs w:val="24"/>
            </w:rPr>
            <w:t>CTE</w:t>
          </w:r>
          <w:r w:rsidRPr="00DF1740">
            <w:rPr>
              <w:rFonts w:ascii="Arial" w:hAnsi="Arial" w:cs="Arial"/>
              <w:color w:val="auto"/>
              <w:sz w:val="24"/>
              <w:szCs w:val="24"/>
            </w:rPr>
            <w:t>-0</w:t>
          </w:r>
          <w:r w:rsidR="001012E8" w:rsidRPr="00DF1740">
            <w:rPr>
              <w:rFonts w:ascii="Arial" w:hAnsi="Arial" w:cs="Arial"/>
              <w:color w:val="auto"/>
              <w:sz w:val="24"/>
              <w:szCs w:val="24"/>
            </w:rPr>
            <w:t>60</w:t>
          </w:r>
          <w:r w:rsidRPr="00DF1740">
            <w:rPr>
              <w:rFonts w:ascii="Arial" w:hAnsi="Arial" w:cs="Arial"/>
              <w:color w:val="auto"/>
              <w:sz w:val="24"/>
              <w:szCs w:val="24"/>
            </w:rPr>
            <w:t xml:space="preserve"> </w:t>
          </w:r>
        </w:p>
        <w:p w:rsidR="00C04964" w:rsidRPr="00DF1740" w:rsidRDefault="00C04964" w:rsidP="0024526A">
          <w:pPr>
            <w:spacing w:line="259" w:lineRule="auto"/>
            <w:ind w:left="96"/>
            <w:rPr>
              <w:rFonts w:ascii="Arial" w:hAnsi="Arial" w:cs="Arial"/>
              <w:color w:val="auto"/>
              <w:sz w:val="24"/>
              <w:szCs w:val="24"/>
            </w:rPr>
          </w:pPr>
          <w:r w:rsidRPr="00DF1740">
            <w:rPr>
              <w:rFonts w:ascii="Arial" w:eastAsia="Arial" w:hAnsi="Arial" w:cs="Arial"/>
              <w:color w:val="auto"/>
              <w:sz w:val="24"/>
              <w:szCs w:val="24"/>
            </w:rPr>
            <w:t>Emisor: DGT</w:t>
          </w:r>
          <w:r w:rsidRPr="00DF1740">
            <w:rPr>
              <w:rFonts w:ascii="Arial" w:hAnsi="Arial" w:cs="Arial"/>
              <w:color w:val="auto"/>
              <w:sz w:val="24"/>
              <w:szCs w:val="24"/>
            </w:rPr>
            <w:t>-DAG</w:t>
          </w:r>
          <w:r w:rsidR="001012E8" w:rsidRPr="00DF1740">
            <w:rPr>
              <w:rFonts w:ascii="Arial" w:hAnsi="Arial" w:cs="Arial"/>
              <w:color w:val="auto"/>
              <w:sz w:val="24"/>
              <w:szCs w:val="24"/>
            </w:rPr>
            <w:t>-CTE</w:t>
          </w:r>
        </w:p>
        <w:p w:rsidR="00C04964" w:rsidRPr="00DF1740" w:rsidRDefault="00C04964" w:rsidP="0024526A">
          <w:pPr>
            <w:spacing w:line="259" w:lineRule="auto"/>
            <w:ind w:left="96"/>
            <w:rPr>
              <w:rFonts w:ascii="Arial" w:hAnsi="Arial" w:cs="Arial"/>
              <w:color w:val="auto"/>
              <w:sz w:val="24"/>
              <w:szCs w:val="24"/>
            </w:rPr>
          </w:pPr>
          <w:r w:rsidRPr="00DF1740">
            <w:rPr>
              <w:rFonts w:ascii="Arial" w:eastAsia="Arial" w:hAnsi="Arial" w:cs="Arial"/>
              <w:color w:val="auto"/>
              <w:sz w:val="24"/>
              <w:szCs w:val="24"/>
            </w:rPr>
            <w:t>Versión:0</w:t>
          </w:r>
          <w:r w:rsidR="001012E8" w:rsidRPr="00DF1740">
            <w:rPr>
              <w:rFonts w:ascii="Arial" w:eastAsia="Arial" w:hAnsi="Arial" w:cs="Arial"/>
              <w:color w:val="auto"/>
              <w:sz w:val="24"/>
              <w:szCs w:val="24"/>
            </w:rPr>
            <w:t>1</w:t>
          </w:r>
          <w:r w:rsidRPr="00DF1740">
            <w:rPr>
              <w:rFonts w:ascii="Arial" w:hAnsi="Arial" w:cs="Arial"/>
              <w:color w:val="auto"/>
              <w:sz w:val="24"/>
              <w:szCs w:val="24"/>
            </w:rPr>
            <w:t xml:space="preserve"> </w:t>
          </w:r>
        </w:p>
        <w:p w:rsidR="00C04964" w:rsidRPr="00DF1740" w:rsidRDefault="00DF1740" w:rsidP="00DF1740">
          <w:pPr>
            <w:spacing w:line="259" w:lineRule="auto"/>
            <w:ind w:left="96"/>
            <w:rPr>
              <w:rFonts w:ascii="Arial" w:hAnsi="Arial" w:cs="Arial"/>
              <w:color w:val="auto"/>
              <w:sz w:val="24"/>
              <w:szCs w:val="24"/>
            </w:rPr>
          </w:pPr>
          <w:r>
            <w:rPr>
              <w:rFonts w:ascii="Arial" w:eastAsia="Arial" w:hAnsi="Arial" w:cs="Arial"/>
              <w:color w:val="auto"/>
              <w:sz w:val="24"/>
              <w:szCs w:val="24"/>
            </w:rPr>
            <w:t>Vigente:</w:t>
          </w:r>
          <w:r w:rsidRPr="00DF1740">
            <w:rPr>
              <w:rFonts w:ascii="Arial" w:hAnsi="Arial" w:cs="Arial"/>
              <w:color w:val="auto"/>
              <w:sz w:val="24"/>
              <w:szCs w:val="24"/>
            </w:rPr>
            <w:t>02/05/2024</w:t>
          </w:r>
          <w:r w:rsidR="00C04964" w:rsidRPr="00DF1740">
            <w:rPr>
              <w:rFonts w:ascii="Arial" w:hAnsi="Arial" w:cs="Arial"/>
              <w:color w:val="auto"/>
              <w:sz w:val="24"/>
              <w:szCs w:val="24"/>
            </w:rPr>
            <w:t xml:space="preserve">  </w:t>
          </w:r>
        </w:p>
        <w:p w:rsidR="00C04964" w:rsidRPr="00DF1740" w:rsidRDefault="00C04964" w:rsidP="0024526A">
          <w:pPr>
            <w:spacing w:line="259" w:lineRule="auto"/>
            <w:ind w:left="96"/>
            <w:rPr>
              <w:rFonts w:ascii="Arial" w:hAnsi="Arial" w:cs="Arial"/>
              <w:color w:val="auto"/>
              <w:sz w:val="24"/>
              <w:szCs w:val="24"/>
            </w:rPr>
          </w:pPr>
          <w:r w:rsidRPr="00DF1740">
            <w:rPr>
              <w:rFonts w:ascii="Arial" w:eastAsia="Arial" w:hAnsi="Arial" w:cs="Arial"/>
              <w:color w:val="auto"/>
              <w:sz w:val="24"/>
              <w:szCs w:val="24"/>
            </w:rPr>
            <w:t>Página</w:t>
          </w:r>
          <w:r w:rsidRPr="00DF1740">
            <w:rPr>
              <w:rFonts w:ascii="Arial" w:hAnsi="Arial" w:cs="Arial"/>
              <w:color w:val="auto"/>
              <w:sz w:val="24"/>
              <w:szCs w:val="24"/>
            </w:rPr>
            <w:t xml:space="preserve">: </w:t>
          </w:r>
          <w:r w:rsidRPr="00DF1740">
            <w:rPr>
              <w:rFonts w:ascii="Arial" w:hAnsi="Arial" w:cs="Arial"/>
              <w:color w:val="auto"/>
              <w:sz w:val="24"/>
              <w:szCs w:val="24"/>
            </w:rPr>
            <w:fldChar w:fldCharType="begin"/>
          </w:r>
          <w:r w:rsidRPr="00DF1740">
            <w:rPr>
              <w:rFonts w:ascii="Arial" w:hAnsi="Arial" w:cs="Arial"/>
              <w:color w:val="auto"/>
              <w:sz w:val="24"/>
              <w:szCs w:val="24"/>
            </w:rPr>
            <w:instrText xml:space="preserve"> PAGE   \* MERGEFORMAT </w:instrText>
          </w:r>
          <w:r w:rsidRPr="00DF1740">
            <w:rPr>
              <w:rFonts w:ascii="Arial" w:hAnsi="Arial" w:cs="Arial"/>
              <w:color w:val="auto"/>
              <w:sz w:val="24"/>
              <w:szCs w:val="24"/>
            </w:rPr>
            <w:fldChar w:fldCharType="separate"/>
          </w:r>
          <w:r w:rsidR="004A0BE1">
            <w:rPr>
              <w:rFonts w:ascii="Arial" w:hAnsi="Arial" w:cs="Arial"/>
              <w:noProof/>
              <w:color w:val="auto"/>
              <w:sz w:val="24"/>
              <w:szCs w:val="24"/>
            </w:rPr>
            <w:t>1</w:t>
          </w:r>
          <w:r w:rsidRPr="00DF1740">
            <w:rPr>
              <w:rFonts w:ascii="Arial" w:hAnsi="Arial" w:cs="Arial"/>
              <w:color w:val="auto"/>
              <w:sz w:val="24"/>
              <w:szCs w:val="24"/>
            </w:rPr>
            <w:fldChar w:fldCharType="end"/>
          </w:r>
          <w:r w:rsidRPr="00DF1740">
            <w:rPr>
              <w:rFonts w:ascii="Arial" w:hAnsi="Arial" w:cs="Arial"/>
              <w:color w:val="auto"/>
              <w:sz w:val="24"/>
              <w:szCs w:val="24"/>
            </w:rPr>
            <w:t xml:space="preserve"> de </w:t>
          </w:r>
          <w:r w:rsidRPr="00DF1740">
            <w:rPr>
              <w:rFonts w:ascii="Arial" w:hAnsi="Arial" w:cs="Arial"/>
              <w:color w:val="auto"/>
              <w:sz w:val="24"/>
              <w:szCs w:val="24"/>
            </w:rPr>
            <w:fldChar w:fldCharType="begin"/>
          </w:r>
          <w:r w:rsidRPr="00DF1740">
            <w:rPr>
              <w:rFonts w:ascii="Arial" w:hAnsi="Arial" w:cs="Arial"/>
              <w:color w:val="auto"/>
              <w:sz w:val="24"/>
              <w:szCs w:val="24"/>
            </w:rPr>
            <w:instrText xml:space="preserve"> NUMPAGES   \* MERGEFORMAT </w:instrText>
          </w:r>
          <w:r w:rsidRPr="00DF1740">
            <w:rPr>
              <w:rFonts w:ascii="Arial" w:hAnsi="Arial" w:cs="Arial"/>
              <w:color w:val="auto"/>
              <w:sz w:val="24"/>
              <w:szCs w:val="24"/>
            </w:rPr>
            <w:fldChar w:fldCharType="separate"/>
          </w:r>
          <w:r w:rsidR="004A0BE1">
            <w:rPr>
              <w:rFonts w:ascii="Arial" w:hAnsi="Arial" w:cs="Arial"/>
              <w:noProof/>
              <w:color w:val="auto"/>
              <w:sz w:val="24"/>
              <w:szCs w:val="24"/>
            </w:rPr>
            <w:t>4</w:t>
          </w:r>
          <w:r w:rsidRPr="00DF1740">
            <w:rPr>
              <w:rFonts w:ascii="Arial" w:hAnsi="Arial" w:cs="Arial"/>
              <w:color w:val="auto"/>
              <w:sz w:val="24"/>
              <w:szCs w:val="24"/>
            </w:rPr>
            <w:fldChar w:fldCharType="end"/>
          </w:r>
          <w:r w:rsidRPr="00DF1740">
            <w:rPr>
              <w:rFonts w:ascii="Arial" w:hAnsi="Arial" w:cs="Arial"/>
              <w:color w:val="auto"/>
              <w:sz w:val="24"/>
              <w:szCs w:val="24"/>
            </w:rPr>
            <w:t xml:space="preserve"> </w:t>
          </w:r>
        </w:p>
      </w:tc>
    </w:tr>
  </w:tbl>
  <w:p w:rsidR="00355CC1" w:rsidRPr="004150DD" w:rsidRDefault="00355CC1" w:rsidP="004150DD">
    <w:pPr>
      <w:pStyle w:val="Encabezad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comment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E6"/>
    <w:rsid w:val="000312BA"/>
    <w:rsid w:val="00060357"/>
    <w:rsid w:val="001012E8"/>
    <w:rsid w:val="0010799E"/>
    <w:rsid w:val="00192F2D"/>
    <w:rsid w:val="00192F9A"/>
    <w:rsid w:val="00193832"/>
    <w:rsid w:val="00193A6A"/>
    <w:rsid w:val="00227AD8"/>
    <w:rsid w:val="00286CA4"/>
    <w:rsid w:val="002A303B"/>
    <w:rsid w:val="002D2DFE"/>
    <w:rsid w:val="00326801"/>
    <w:rsid w:val="003533C4"/>
    <w:rsid w:val="00355CC1"/>
    <w:rsid w:val="003D37A7"/>
    <w:rsid w:val="00406C3E"/>
    <w:rsid w:val="004150DD"/>
    <w:rsid w:val="00427806"/>
    <w:rsid w:val="00464292"/>
    <w:rsid w:val="004A0BE1"/>
    <w:rsid w:val="004B43A7"/>
    <w:rsid w:val="00570463"/>
    <w:rsid w:val="005C19D9"/>
    <w:rsid w:val="00604C91"/>
    <w:rsid w:val="00641F21"/>
    <w:rsid w:val="006F325F"/>
    <w:rsid w:val="00736455"/>
    <w:rsid w:val="00752686"/>
    <w:rsid w:val="00776891"/>
    <w:rsid w:val="007C7786"/>
    <w:rsid w:val="00947AA0"/>
    <w:rsid w:val="00A122E2"/>
    <w:rsid w:val="00A27AE3"/>
    <w:rsid w:val="00A71B8F"/>
    <w:rsid w:val="00AC5BA3"/>
    <w:rsid w:val="00AE15EA"/>
    <w:rsid w:val="00AE1B51"/>
    <w:rsid w:val="00BC45D2"/>
    <w:rsid w:val="00BF1802"/>
    <w:rsid w:val="00C04964"/>
    <w:rsid w:val="00C6289B"/>
    <w:rsid w:val="00CA365A"/>
    <w:rsid w:val="00CF2CE6"/>
    <w:rsid w:val="00D67534"/>
    <w:rsid w:val="00DF1740"/>
    <w:rsid w:val="00E17C11"/>
    <w:rsid w:val="00EF4621"/>
    <w:rsid w:val="00F1199B"/>
    <w:rsid w:val="00F347D2"/>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C783A"/>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table" w:customStyle="1" w:styleId="TableGrid">
    <w:name w:val="TableGrid"/>
    <w:rsid w:val="00C04964"/>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ED8A-28EA-42F5-9385-1583A1E7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Hewlett-Packard Company</cp:lastModifiedBy>
  <cp:revision>12</cp:revision>
  <cp:lastPrinted>2018-05-10T13:52:00Z</cp:lastPrinted>
  <dcterms:created xsi:type="dcterms:W3CDTF">2018-12-20T14:38:00Z</dcterms:created>
  <dcterms:modified xsi:type="dcterms:W3CDTF">2024-07-02T15:15:00Z</dcterms:modified>
</cp:coreProperties>
</file>