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75"/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10314"/>
      </w:tblGrid>
      <w:tr w:rsidR="00CD0F4A" w:rsidTr="00D833F3">
        <w:trPr>
          <w:trHeight w:hRule="exact" w:val="338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Agente de Control Microbiano:</w:t>
            </w:r>
          </w:p>
        </w:tc>
      </w:tr>
      <w:tr w:rsidR="00CD0F4A" w:rsidTr="00D833F3">
        <w:trPr>
          <w:trHeight w:hRule="exact" w:val="337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Calibri"/>
                <w:b/>
                <w:bCs/>
                <w:lang w:val="es-PY" w:eastAsia="es-PY"/>
              </w:rPr>
            </w:pPr>
            <w:r>
              <w:rPr>
                <w:rFonts w:ascii="Arial" w:eastAsia="Calibri" w:hAnsi="Arial" w:cs="Calibri"/>
                <w:b/>
                <w:bCs/>
                <w:sz w:val="22"/>
                <w:szCs w:val="22"/>
                <w:lang w:val="es-PY" w:eastAsia="es-PY"/>
              </w:rPr>
              <w:t>CUERPO I: EXPEDIENTE</w:t>
            </w:r>
          </w:p>
        </w:tc>
      </w:tr>
      <w:tr w:rsidR="00CD0F4A" w:rsidTr="00D833F3">
        <w:trPr>
          <w:trHeight w:hRule="exact" w:val="637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Nota con membrete de la entidad comercial, solicitando la inscripción del producto formulado, firmada por el asesor técnico y el apoderado legal (proforma en la página web del SENAVE)</w:t>
            </w:r>
          </w:p>
        </w:tc>
      </w:tr>
      <w:tr w:rsidR="00CD0F4A" w:rsidTr="00D833F3">
        <w:trPr>
          <w:trHeight w:hRule="exact" w:val="619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Formulario de Solicitud de Registro de Productos Agentes de Control Biológico Microbiano Producto Técnico Microbiano (en la página web del SENAVE).</w:t>
            </w:r>
          </w:p>
        </w:tc>
      </w:tr>
      <w:tr w:rsidR="00CD0F4A" w:rsidTr="00D833F3">
        <w:trPr>
          <w:trHeight w:hRule="exact" w:val="435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Proyecto de etiqueta</w:t>
            </w:r>
          </w:p>
        </w:tc>
      </w:tr>
      <w:tr w:rsidR="00CD0F4A" w:rsidTr="00D833F3">
        <w:trPr>
          <w:trHeight w:hRule="exact" w:val="409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Hojas de datos de seguridad (EN ESPAÑOL)</w:t>
            </w:r>
          </w:p>
        </w:tc>
      </w:tr>
      <w:tr w:rsidR="00CD0F4A" w:rsidTr="00D833F3">
        <w:trPr>
          <w:trHeight w:hRule="exact" w:val="705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Certificado de Origen, Legalizado/ Consularizado / Apostillado de acuerdo a la Resolución N.º 308/14.</w:t>
            </w:r>
          </w:p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 traducción al español.</w:t>
            </w:r>
          </w:p>
        </w:tc>
      </w:tr>
      <w:tr w:rsidR="00CD0F4A" w:rsidTr="00D833F3">
        <w:trPr>
          <w:trHeight w:hRule="exact" w:val="415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Calibri"/>
                <w:b/>
                <w:bCs/>
                <w:lang w:val="es-PY" w:eastAsia="es-PY"/>
              </w:rPr>
            </w:pPr>
            <w:r>
              <w:rPr>
                <w:rFonts w:ascii="Arial" w:eastAsia="Calibri" w:hAnsi="Arial" w:cs="Calibri"/>
                <w:b/>
                <w:bCs/>
                <w:sz w:val="22"/>
                <w:szCs w:val="22"/>
                <w:lang w:val="es-PY" w:eastAsia="es-PY"/>
              </w:rPr>
              <w:t>CUERPO II: INFORMACIÓN CONFIDENCIAL</w:t>
            </w:r>
          </w:p>
        </w:tc>
      </w:tr>
      <w:tr w:rsidR="00CD0F4A" w:rsidTr="00D833F3">
        <w:trPr>
          <w:trHeight w:hRule="exact" w:val="868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Composición cuali-cuantitativa del producto formulado, firmado por el representante legal.</w:t>
            </w:r>
          </w:p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En el que se detalle Informaciones sobre otros ingredientes presentes además de los ACBM/ PTM y de los componentes de la formulación.</w:t>
            </w:r>
          </w:p>
        </w:tc>
      </w:tr>
      <w:tr w:rsidR="00CD0F4A" w:rsidTr="00D833F3">
        <w:trPr>
          <w:trHeight w:hRule="exact" w:val="415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Certificado de composición de origen (Expedido por el fabricante</w:t>
            </w:r>
          </w:p>
        </w:tc>
      </w:tr>
      <w:tr w:rsidR="00CD0F4A" w:rsidTr="00D833F3">
        <w:trPr>
          <w:trHeight w:hRule="exact" w:val="673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Resultado de análisis de un laboratorio Nacional. En el caso de no realizarse el ensayo, se podrá aceptar realizado en un en un laboratorio Reconocido.</w:t>
            </w:r>
          </w:p>
        </w:tc>
      </w:tr>
      <w:tr w:rsidR="00CD0F4A" w:rsidTr="00D833F3">
        <w:trPr>
          <w:trHeight w:hRule="exact" w:val="598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pStyle w:val="Textoindependiente"/>
              <w:tabs>
                <w:tab w:val="left" w:pos="-167"/>
                <w:tab w:val="left" w:pos="450"/>
              </w:tabs>
              <w:spacing w:after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US"/>
              </w:rPr>
              <w:t>Pureza del aislamiento original (stock). Concentración del ACBM/PTM expresado en unidades infectivas conocidas.</w:t>
            </w:r>
          </w:p>
        </w:tc>
      </w:tr>
      <w:tr w:rsidR="00CD0F4A" w:rsidTr="00D833F3">
        <w:trPr>
          <w:trHeight w:hRule="exact" w:val="415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u w:val="single"/>
                <w:lang w:eastAsia="en-US"/>
              </w:rPr>
              <w:t xml:space="preserve">Proceso de Formulación: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Listado de los materiales: inicial, intermediario y final de la producción</w:t>
            </w:r>
          </w:p>
        </w:tc>
      </w:tr>
      <w:tr w:rsidR="00CD0F4A" w:rsidTr="00D833F3">
        <w:trPr>
          <w:trHeight w:hRule="exact" w:val="617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pStyle w:val="Textoindependiente"/>
              <w:tabs>
                <w:tab w:val="left" w:pos="169"/>
                <w:tab w:val="left" w:pos="11770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Procedimientos para limitar contaminaciones químicas o biológicas a niveles aceptables. (Por el fabricante)</w:t>
            </w:r>
          </w:p>
        </w:tc>
      </w:tr>
      <w:tr w:rsidR="00CD0F4A" w:rsidTr="00D833F3">
        <w:trPr>
          <w:trHeight w:hRule="exact" w:val="415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Procedimiento para uniformidad y estandarización de la producción. </w:t>
            </w: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(Por el fabricante)</w:t>
            </w:r>
          </w:p>
        </w:tc>
      </w:tr>
      <w:tr w:rsidR="00CD0F4A" w:rsidTr="00D833F3">
        <w:trPr>
          <w:trHeight w:hRule="exact" w:val="842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Declaración de posibilidad de formación de ingredientes no deseados (toxinas, metabolitos, etc.).</w:t>
            </w: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(Por el fabricante)</w:t>
            </w:r>
          </w:p>
        </w:tc>
      </w:tr>
      <w:tr w:rsidR="00CD0F4A" w:rsidTr="00D833F3">
        <w:trPr>
          <w:trHeight w:hRule="exact" w:val="415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widowControl w:val="0"/>
              <w:tabs>
                <w:tab w:val="left" w:pos="11770"/>
              </w:tabs>
              <w:rPr>
                <w:rFonts w:ascii="Arial" w:eastAsia="Calibri" w:hAnsi="Arial" w:cs="Calibri"/>
                <w:b/>
                <w:bCs/>
                <w:lang w:val="es-PY" w:eastAsia="es-PY"/>
              </w:rPr>
            </w:pPr>
            <w:r>
              <w:rPr>
                <w:rFonts w:ascii="Arial" w:eastAsia="Calibri" w:hAnsi="Arial" w:cs="Calibri"/>
                <w:b/>
                <w:bCs/>
                <w:sz w:val="22"/>
                <w:szCs w:val="22"/>
                <w:lang w:val="es-PY" w:eastAsia="es-PY"/>
              </w:rPr>
              <w:t>CUERPO III: CUERPO TÉCNICO</w:t>
            </w:r>
          </w:p>
        </w:tc>
      </w:tr>
      <w:tr w:rsidR="00CD0F4A" w:rsidTr="00D833F3">
        <w:trPr>
          <w:trHeight w:hRule="exact" w:val="3517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Propiedades </w:t>
            </w:r>
            <w:r w:rsidR="00627E2A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Fisicoquímicas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CD0F4A" w:rsidRDefault="00D833F3">
            <w:pPr>
              <w:pStyle w:val="Textoindependiente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Aspecto: Estado físico, Color y Olor</w:t>
            </w:r>
          </w:p>
          <w:p w:rsidR="00CD0F4A" w:rsidRDefault="00D833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rPr>
                <w:rFonts w:ascii="Arial" w:eastAsia="Calibri" w:hAnsi="Arial" w:cs="Calibri"/>
                <w:lang w:val="es-PY" w:eastAsia="es-PY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Estabilidad en diferentes condiciones ambientales (luz solar, pH, aire, temperatura, metales y sus iones). Como estabilidad a bajas o altas temperaturas.</w:t>
            </w:r>
          </w:p>
          <w:p w:rsidR="00CD0F4A" w:rsidRDefault="00D833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rPr>
                <w:rFonts w:ascii="Arial" w:eastAsia="Calibri" w:hAnsi="Arial" w:cs="Calibri"/>
                <w:lang w:val="es-PY" w:eastAsia="es-PY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Adhesividad</w:t>
            </w:r>
          </w:p>
          <w:p w:rsidR="00CD0F4A" w:rsidRDefault="00D833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rPr>
                <w:rFonts w:ascii="Arial" w:eastAsia="Calibri" w:hAnsi="Arial" w:cs="Calibri"/>
                <w:lang w:val="es-PY" w:eastAsia="es-PY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Densidad (Para líquidos)</w:t>
            </w:r>
          </w:p>
          <w:p w:rsidR="00CD0F4A" w:rsidRDefault="00D833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rPr>
                <w:rFonts w:ascii="Arial" w:eastAsia="Calibri" w:hAnsi="Arial" w:cs="Calibri"/>
                <w:lang w:val="es-PY" w:eastAsia="es-PY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 xml:space="preserve">Tamaño de partícula (Nº de malla)- Análisis </w:t>
            </w:r>
            <w:r w:rsidR="00627E2A"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granulométrico</w:t>
            </w:r>
          </w:p>
          <w:p w:rsidR="00CD0F4A" w:rsidRDefault="00D833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rPr>
                <w:rFonts w:ascii="Arial" w:eastAsia="Calibri" w:hAnsi="Arial" w:cs="Calibri"/>
                <w:lang w:val="es-PY" w:eastAsia="es-PY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pH</w:t>
            </w:r>
          </w:p>
          <w:p w:rsidR="00CD0F4A" w:rsidRDefault="00D833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rPr>
                <w:rFonts w:ascii="Arial" w:eastAsia="Calibri" w:hAnsi="Arial" w:cs="Calibri"/>
                <w:lang w:val="es-PY" w:eastAsia="es-PY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Actividad acuosa (miscibilidad)</w:t>
            </w:r>
          </w:p>
          <w:p w:rsidR="00CD0F4A" w:rsidRDefault="00D833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rPr>
                <w:rFonts w:ascii="Arial" w:eastAsia="Calibri" w:hAnsi="Arial" w:cs="Calibri"/>
                <w:lang w:val="es-PY" w:eastAsia="es-PY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Viscosidad (Para líquidos)</w:t>
            </w:r>
          </w:p>
          <w:p w:rsidR="00CD0F4A" w:rsidRDefault="00D833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rPr>
                <w:rFonts w:ascii="Arial" w:eastAsia="Calibri" w:hAnsi="Arial" w:cs="Calibri"/>
                <w:lang w:val="es-PY" w:eastAsia="es-PY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Características Corrosivas</w:t>
            </w:r>
          </w:p>
          <w:p w:rsidR="00CD0F4A" w:rsidRDefault="00D833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1770"/>
              </w:tabs>
              <w:rPr>
                <w:rFonts w:ascii="Arial" w:eastAsia="Calibri" w:hAnsi="Arial" w:cs="Calibri"/>
                <w:lang w:val="es-PY" w:eastAsia="es-PY"/>
              </w:rPr>
            </w:pPr>
            <w:r>
              <w:rPr>
                <w:rFonts w:ascii="Arial" w:eastAsia="Calibri" w:hAnsi="Arial" w:cs="Calibri"/>
                <w:sz w:val="22"/>
                <w:szCs w:val="22"/>
                <w:lang w:val="es-PY" w:eastAsia="es-PY"/>
              </w:rPr>
              <w:t>Otras propiedades intrínsecas del producto formulado (Aquellas que no se mencionan y fueron realizadas por el tipo de formulación)</w:t>
            </w:r>
          </w:p>
        </w:tc>
      </w:tr>
      <w:tr w:rsidR="00CD0F4A" w:rsidTr="00991F8E">
        <w:trPr>
          <w:trHeight w:hRule="exact" w:val="3450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Evaluación Toxico -Patológica del PMF</w:t>
            </w:r>
          </w:p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Pruebas de la Fase I</w:t>
            </w:r>
          </w:p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Mamíferos</w:t>
            </w:r>
          </w:p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hAnsi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Toxicidad aguda del PMF (CE)</w:t>
            </w:r>
          </w:p>
          <w:p w:rsidR="00CD0F4A" w:rsidRDefault="00D833F3">
            <w:pPr>
              <w:pStyle w:val="Textoindependiente"/>
              <w:numPr>
                <w:ilvl w:val="0"/>
                <w:numId w:val="2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Oral (CE)</w:t>
            </w:r>
          </w:p>
          <w:p w:rsidR="00CD0F4A" w:rsidRDefault="00D833F3">
            <w:pPr>
              <w:pStyle w:val="Textoindependiente"/>
              <w:numPr>
                <w:ilvl w:val="0"/>
                <w:numId w:val="2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Dermal (CE)</w:t>
            </w:r>
          </w:p>
          <w:p w:rsidR="00CD0F4A" w:rsidRDefault="00D833F3">
            <w:pPr>
              <w:pStyle w:val="Textoindependiente"/>
              <w:numPr>
                <w:ilvl w:val="0"/>
                <w:numId w:val="2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inhalatoria (CE)</w:t>
            </w:r>
          </w:p>
          <w:p w:rsidR="00CD0F4A" w:rsidRDefault="00D833F3">
            <w:pPr>
              <w:pStyle w:val="Textoindependiente"/>
              <w:numPr>
                <w:ilvl w:val="0"/>
                <w:numId w:val="2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Indicación de alergia/hipersensibilidad (E).</w:t>
            </w:r>
          </w:p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Irritación primaria del PMF</w:t>
            </w:r>
          </w:p>
          <w:p w:rsidR="00CD0F4A" w:rsidRDefault="00D833F3">
            <w:pPr>
              <w:pStyle w:val="Textoindependiente"/>
              <w:numPr>
                <w:ilvl w:val="0"/>
                <w:numId w:val="3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Cutánea (CE)</w:t>
            </w:r>
          </w:p>
          <w:p w:rsidR="00CD0F4A" w:rsidRDefault="00D833F3">
            <w:pPr>
              <w:pStyle w:val="Textoindependiente"/>
              <w:numPr>
                <w:ilvl w:val="0"/>
                <w:numId w:val="3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Ocular (CE)</w:t>
            </w:r>
          </w:p>
        </w:tc>
      </w:tr>
      <w:tr w:rsidR="00CD0F4A" w:rsidTr="00BF5571">
        <w:trPr>
          <w:trHeight w:hRule="exact" w:val="410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F4A" w:rsidRPr="00BF5571" w:rsidRDefault="00D833F3" w:rsidP="00991F8E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F557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Etiquetado de</w:t>
            </w:r>
            <w:r w:rsidR="00BF5571" w:rsidRPr="00BF557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 Producto Microbiano Formulados</w:t>
            </w:r>
          </w:p>
          <w:p w:rsidR="00CD0F4A" w:rsidRPr="00BF5571" w:rsidRDefault="00CD0F4A" w:rsidP="00991F8E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D0F4A" w:rsidTr="00D833F3">
        <w:trPr>
          <w:trHeight w:hRule="exact" w:val="1533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Envases y Embalajes Propuestos para el Producto Formulado</w:t>
            </w:r>
          </w:p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Envases: Tipo, material, capacidad, resistencia</w:t>
            </w:r>
          </w:p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Embalajes: Tipo, material, resistencia</w:t>
            </w:r>
            <w:bookmarkStart w:id="0" w:name="_GoBack"/>
            <w:bookmarkEnd w:id="0"/>
          </w:p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Acción del producto </w:t>
            </w:r>
            <w:r w:rsidR="00627E2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sobre el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material de los envases.</w:t>
            </w:r>
          </w:p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Procedimientos para la descontaminación y destrucción de los envases.</w:t>
            </w:r>
          </w:p>
        </w:tc>
      </w:tr>
      <w:tr w:rsidR="00CD0F4A" w:rsidTr="00D833F3">
        <w:trPr>
          <w:trHeight w:hRule="exact" w:val="1762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tabs>
                <w:tab w:val="left" w:pos="1177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INFORMACIONES SOBRE PRUEBAS DE </w:t>
            </w:r>
            <w:r w:rsidR="00627E2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EFICIENCIA (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Para los que no cuenten con antecedente de uso)</w:t>
            </w:r>
          </w:p>
          <w:p w:rsidR="00CD0F4A" w:rsidRDefault="00D833F3">
            <w:pPr>
              <w:pStyle w:val="Textoindependiente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El solicitante deberá presentar pruebas de eficiencia del ACBM a ser registrado que deberán contemplar aplicaciones en laboratorio y campo con preferencia realizadas en la región COSAVE. Dada las características de estos productos, las pruebas tendrán condiciones especiales a ser definidas en un estándar específico, (al igual que los requisitos para registro experimental).</w:t>
            </w:r>
          </w:p>
        </w:tc>
      </w:tr>
      <w:tr w:rsidR="00CD0F4A" w:rsidTr="00D833F3">
        <w:trPr>
          <w:trHeight w:hRule="exact" w:val="2744"/>
          <w:jc w:val="center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4A" w:rsidRDefault="00D833F3">
            <w:pPr>
              <w:pStyle w:val="Textoindependiente"/>
              <w:tabs>
                <w:tab w:val="left" w:pos="11770"/>
              </w:tabs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INFORMACIÓN RESPECTO DE LA SEGURIDAD</w:t>
            </w:r>
          </w:p>
          <w:p w:rsidR="00CD0F4A" w:rsidRDefault="00D833F3">
            <w:pPr>
              <w:pStyle w:val="Textoindependiente"/>
              <w:numPr>
                <w:ilvl w:val="0"/>
                <w:numId w:val="4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Procedimientos para la destrucción del agente biológico, producto de su metabolismo, producto formulado, agentes biológicos mutantes, indicando las condiciones físicas o químicas específicas para obtener la desactivación o descomposición del material biológico/producto.</w:t>
            </w:r>
          </w:p>
          <w:p w:rsidR="00CD0F4A" w:rsidRDefault="00D833F3">
            <w:pPr>
              <w:pStyle w:val="Textoindependiente"/>
              <w:numPr>
                <w:ilvl w:val="0"/>
                <w:numId w:val="4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Métodos recomendados y precauciones de manejo durante la fabricación, formulación, almacenamiento, transporte, uso y manipuleo general del agente / producto.</w:t>
            </w:r>
          </w:p>
          <w:p w:rsidR="00CD0F4A" w:rsidRDefault="00D833F3">
            <w:pPr>
              <w:pStyle w:val="Textoindependiente"/>
              <w:numPr>
                <w:ilvl w:val="0"/>
                <w:numId w:val="4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Información sobre equipos de protección personal (si corresponde).</w:t>
            </w:r>
          </w:p>
          <w:p w:rsidR="00CD0F4A" w:rsidRDefault="00D833F3">
            <w:pPr>
              <w:pStyle w:val="Textoindependiente"/>
              <w:numPr>
                <w:ilvl w:val="0"/>
                <w:numId w:val="4"/>
              </w:numPr>
              <w:tabs>
                <w:tab w:val="clear" w:pos="720"/>
                <w:tab w:val="left" w:pos="1177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Procedimientos de limpieza y descontaminación de equipos de aplicación y áreas contaminadas.</w:t>
            </w:r>
          </w:p>
          <w:p w:rsidR="00CD0F4A" w:rsidRDefault="00CD0F4A">
            <w:pPr>
              <w:tabs>
                <w:tab w:val="left" w:pos="1177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CD0F4A" w:rsidRDefault="00CD0F4A"/>
    <w:sectPr w:rsidR="00CD0F4A" w:rsidSect="00F76F49">
      <w:headerReference w:type="default" r:id="rId7"/>
      <w:footerReference w:type="default" r:id="rId8"/>
      <w:pgSz w:w="11906" w:h="16838" w:code="9"/>
      <w:pgMar w:top="851" w:right="1701" w:bottom="1418" w:left="1701" w:header="51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34" w:rsidRDefault="004A2234">
      <w:r>
        <w:separator/>
      </w:r>
    </w:p>
  </w:endnote>
  <w:endnote w:type="continuationSeparator" w:id="0">
    <w:p w:rsidR="004A2234" w:rsidRDefault="004A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9" w:rsidRPr="0024526A" w:rsidRDefault="00F76F49" w:rsidP="00F76F49">
    <w:pPr>
      <w:spacing w:line="259" w:lineRule="auto"/>
      <w:ind w:left="96"/>
      <w:rPr>
        <w:rFonts w:ascii="Arial" w:hAnsi="Arial" w:cs="Arial"/>
      </w:rPr>
    </w:pPr>
    <w:r w:rsidRPr="0024526A">
      <w:rPr>
        <w:rFonts w:ascii="Arial" w:eastAsia="Arial" w:hAnsi="Arial" w:cs="Arial"/>
      </w:rPr>
      <w:t xml:space="preserve">Código: </w:t>
    </w:r>
    <w:r w:rsidRPr="0024526A">
      <w:rPr>
        <w:rFonts w:ascii="Arial" w:hAnsi="Arial" w:cs="Arial"/>
      </w:rPr>
      <w:t>FOR-</w:t>
    </w:r>
    <w:r>
      <w:rPr>
        <w:rFonts w:ascii="Arial" w:hAnsi="Arial" w:cs="Arial"/>
      </w:rPr>
      <w:t>CTE</w:t>
    </w:r>
    <w:r w:rsidRPr="0024526A">
      <w:rPr>
        <w:rFonts w:ascii="Arial" w:hAnsi="Arial" w:cs="Arial"/>
      </w:rPr>
      <w:t>-0</w:t>
    </w:r>
    <w:r>
      <w:rPr>
        <w:rFonts w:ascii="Arial" w:hAnsi="Arial" w:cs="Arial"/>
      </w:rPr>
      <w:t>43</w:t>
    </w:r>
  </w:p>
  <w:p w:rsidR="00F76F49" w:rsidRPr="0024526A" w:rsidRDefault="00F76F49" w:rsidP="00F76F49">
    <w:pPr>
      <w:spacing w:line="259" w:lineRule="auto"/>
      <w:ind w:left="96"/>
      <w:rPr>
        <w:rFonts w:ascii="Arial" w:hAnsi="Arial" w:cs="Arial"/>
      </w:rPr>
    </w:pPr>
    <w:r w:rsidRPr="0024526A">
      <w:rPr>
        <w:rFonts w:ascii="Arial" w:eastAsia="Arial" w:hAnsi="Arial" w:cs="Arial"/>
      </w:rPr>
      <w:t>Emisor:</w:t>
    </w:r>
    <w:r>
      <w:rPr>
        <w:rFonts w:ascii="Arial" w:eastAsia="Arial" w:hAnsi="Arial" w:cs="Arial"/>
      </w:rPr>
      <w:t xml:space="preserve"> </w:t>
    </w:r>
    <w:r w:rsidRPr="0024526A">
      <w:rPr>
        <w:rFonts w:ascii="Arial" w:eastAsia="Arial" w:hAnsi="Arial" w:cs="Arial"/>
      </w:rPr>
      <w:t>DGT</w:t>
    </w:r>
    <w:r w:rsidRPr="0024526A">
      <w:rPr>
        <w:rFonts w:ascii="Arial" w:hAnsi="Arial" w:cs="Arial"/>
      </w:rPr>
      <w:t xml:space="preserve">-DAG-CTE </w:t>
    </w:r>
  </w:p>
  <w:p w:rsidR="00F76F49" w:rsidRPr="0024526A" w:rsidRDefault="00F76F49" w:rsidP="00F76F49">
    <w:pPr>
      <w:spacing w:line="259" w:lineRule="auto"/>
      <w:ind w:left="96"/>
      <w:rPr>
        <w:rFonts w:ascii="Arial" w:hAnsi="Arial" w:cs="Arial"/>
      </w:rPr>
    </w:pPr>
    <w:r w:rsidRPr="0024526A">
      <w:rPr>
        <w:rFonts w:ascii="Arial" w:eastAsia="Arial" w:hAnsi="Arial" w:cs="Arial"/>
      </w:rPr>
      <w:t>Versión:0</w:t>
    </w:r>
    <w:r>
      <w:rPr>
        <w:rFonts w:ascii="Arial" w:eastAsia="Arial" w:hAnsi="Arial" w:cs="Arial"/>
      </w:rPr>
      <w:t>1</w:t>
    </w:r>
  </w:p>
  <w:p w:rsidR="00F76F49" w:rsidRPr="0024526A" w:rsidRDefault="00F76F49" w:rsidP="00F76F49">
    <w:pPr>
      <w:spacing w:line="259" w:lineRule="auto"/>
      <w:ind w:left="96"/>
      <w:rPr>
        <w:rFonts w:ascii="Arial" w:hAnsi="Arial" w:cs="Arial"/>
      </w:rPr>
    </w:pPr>
    <w:r w:rsidRPr="0024526A">
      <w:rPr>
        <w:rFonts w:ascii="Arial" w:eastAsia="Arial" w:hAnsi="Arial" w:cs="Arial"/>
      </w:rPr>
      <w:t xml:space="preserve">Vigente:  </w:t>
    </w:r>
    <w:r w:rsidRPr="0024526A">
      <w:rPr>
        <w:rFonts w:ascii="Arial" w:hAnsi="Arial" w:cs="Arial"/>
      </w:rPr>
      <w:t>01</w:t>
    </w:r>
    <w:r w:rsidRPr="0024526A">
      <w:rPr>
        <w:rFonts w:ascii="Arial" w:eastAsia="Arial" w:hAnsi="Arial" w:cs="Arial"/>
      </w:rPr>
      <w:t xml:space="preserve"> </w:t>
    </w:r>
    <w:r w:rsidRPr="0024526A">
      <w:rPr>
        <w:rFonts w:ascii="Arial" w:hAnsi="Arial" w:cs="Arial"/>
      </w:rPr>
      <w:t xml:space="preserve">/ 12 /2023  </w:t>
    </w:r>
  </w:p>
  <w:p w:rsidR="00F76F49" w:rsidRDefault="00F76F49" w:rsidP="00F76F49">
    <w:pPr>
      <w:pStyle w:val="Piedepgina"/>
    </w:pPr>
    <w:r>
      <w:rPr>
        <w:rFonts w:ascii="Arial" w:eastAsia="Arial" w:hAnsi="Arial" w:cs="Arial"/>
      </w:rPr>
      <w:t xml:space="preserve">  </w:t>
    </w:r>
    <w:r w:rsidRPr="0024526A">
      <w:rPr>
        <w:rFonts w:ascii="Arial" w:eastAsia="Arial" w:hAnsi="Arial" w:cs="Arial"/>
      </w:rPr>
      <w:t>Página</w:t>
    </w:r>
    <w:r w:rsidRPr="0024526A">
      <w:rPr>
        <w:rFonts w:ascii="Arial" w:hAnsi="Arial" w:cs="Arial"/>
      </w:rPr>
      <w:t xml:space="preserve">: </w:t>
    </w:r>
    <w:r w:rsidRPr="0024526A">
      <w:rPr>
        <w:rFonts w:ascii="Arial" w:hAnsi="Arial" w:cs="Arial"/>
      </w:rPr>
      <w:fldChar w:fldCharType="begin"/>
    </w:r>
    <w:r w:rsidRPr="0024526A">
      <w:rPr>
        <w:rFonts w:ascii="Arial" w:hAnsi="Arial" w:cs="Arial"/>
      </w:rPr>
      <w:instrText xml:space="preserve"> PAGE   \* MERGEFORMAT </w:instrText>
    </w:r>
    <w:r w:rsidRPr="0024526A">
      <w:rPr>
        <w:rFonts w:ascii="Arial" w:hAnsi="Arial" w:cs="Arial"/>
      </w:rPr>
      <w:fldChar w:fldCharType="separate"/>
    </w:r>
    <w:r w:rsidR="00BF5571">
      <w:rPr>
        <w:rFonts w:ascii="Arial" w:hAnsi="Arial" w:cs="Arial"/>
        <w:noProof/>
      </w:rPr>
      <w:t>1</w:t>
    </w:r>
    <w:r w:rsidRPr="0024526A">
      <w:rPr>
        <w:rFonts w:ascii="Arial" w:hAnsi="Arial" w:cs="Arial"/>
      </w:rPr>
      <w:fldChar w:fldCharType="end"/>
    </w:r>
    <w:r w:rsidRPr="0024526A">
      <w:rPr>
        <w:rFonts w:ascii="Arial" w:hAnsi="Arial" w:cs="Arial"/>
      </w:rPr>
      <w:t xml:space="preserve"> de </w:t>
    </w:r>
    <w:r w:rsidRPr="0024526A">
      <w:rPr>
        <w:rFonts w:ascii="Arial" w:hAnsi="Arial" w:cs="Arial"/>
      </w:rPr>
      <w:fldChar w:fldCharType="begin"/>
    </w:r>
    <w:r w:rsidRPr="0024526A">
      <w:rPr>
        <w:rFonts w:ascii="Arial" w:hAnsi="Arial" w:cs="Arial"/>
      </w:rPr>
      <w:instrText xml:space="preserve"> NUMPAGES   \* MERGEFORMAT </w:instrText>
    </w:r>
    <w:r w:rsidRPr="0024526A">
      <w:rPr>
        <w:rFonts w:ascii="Arial" w:hAnsi="Arial" w:cs="Arial"/>
      </w:rPr>
      <w:fldChar w:fldCharType="separate"/>
    </w:r>
    <w:r w:rsidR="00BF5571">
      <w:rPr>
        <w:rFonts w:ascii="Arial" w:hAnsi="Arial" w:cs="Arial"/>
        <w:noProof/>
      </w:rPr>
      <w:t>2</w:t>
    </w:r>
    <w:r w:rsidRPr="0024526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34" w:rsidRDefault="004A2234">
      <w:r>
        <w:separator/>
      </w:r>
    </w:p>
  </w:footnote>
  <w:footnote w:type="continuationSeparator" w:id="0">
    <w:p w:rsidR="004A2234" w:rsidRDefault="004A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4A" w:rsidRDefault="00CD0F4A">
    <w:pPr>
      <w:pStyle w:val="Encabezad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B9E"/>
    <w:multiLevelType w:val="multilevel"/>
    <w:tmpl w:val="2566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E97707"/>
    <w:multiLevelType w:val="multilevel"/>
    <w:tmpl w:val="4F6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FDB1F91"/>
    <w:multiLevelType w:val="multilevel"/>
    <w:tmpl w:val="750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08C09BD"/>
    <w:multiLevelType w:val="multilevel"/>
    <w:tmpl w:val="98BC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ECE681D"/>
    <w:multiLevelType w:val="multilevel"/>
    <w:tmpl w:val="D4685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4A"/>
    <w:rsid w:val="004A2234"/>
    <w:rsid w:val="00627E2A"/>
    <w:rsid w:val="006407C8"/>
    <w:rsid w:val="00665082"/>
    <w:rsid w:val="008D648D"/>
    <w:rsid w:val="00923626"/>
    <w:rsid w:val="00991F8E"/>
    <w:rsid w:val="00B94DF1"/>
    <w:rsid w:val="00BF5571"/>
    <w:rsid w:val="00C87A4C"/>
    <w:rsid w:val="00CC6DF0"/>
    <w:rsid w:val="00CD0F4A"/>
    <w:rsid w:val="00D833F3"/>
    <w:rsid w:val="00F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C6A1"/>
  <w15:docId w15:val="{E95746C4-B252-44DE-A987-2940ADEB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5E0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5E0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45E03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qFormat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45E03"/>
    <w:rPr>
      <w:rFonts w:ascii="Tahoma" w:eastAsiaTheme="minorHAns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Grid">
    <w:name w:val="TableGrid"/>
    <w:rsid w:val="00C87A4C"/>
    <w:pPr>
      <w:suppressAutoHyphens w:val="0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DAGRO</dc:creator>
  <dc:description/>
  <cp:lastModifiedBy>Hewlett-Packard Company</cp:lastModifiedBy>
  <cp:revision>41</cp:revision>
  <cp:lastPrinted>2023-08-29T14:01:00Z</cp:lastPrinted>
  <dcterms:created xsi:type="dcterms:W3CDTF">2017-01-19T15:05:00Z</dcterms:created>
  <dcterms:modified xsi:type="dcterms:W3CDTF">2024-07-02T13:42:00Z</dcterms:modified>
  <dc:language>es-PY</dc:language>
</cp:coreProperties>
</file>