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58" w:rsidRDefault="00002058"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E56FDA" w:rsidRPr="008617AD" w:rsidTr="008617AD">
        <w:trPr>
          <w:cantSplit/>
        </w:trPr>
        <w:tc>
          <w:tcPr>
            <w:tcW w:w="0" w:type="auto"/>
            <w:gridSpan w:val="3"/>
            <w:shd w:val="clear" w:color="auto" w:fill="D9D9D9" w:themeFill="background1" w:themeFillShade="D9"/>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b/>
                <w:sz w:val="24"/>
                <w:szCs w:val="24"/>
                <w:lang w:val="pt-BR"/>
              </w:rPr>
              <w:t>DATOS DEL SOLICITANTE</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proofErr w:type="spellStart"/>
            <w:r w:rsidRPr="008617AD">
              <w:rPr>
                <w:rFonts w:ascii="Arial" w:hAnsi="Arial" w:cs="Arial"/>
                <w:sz w:val="24"/>
                <w:szCs w:val="24"/>
                <w:lang w:val="pt-BR"/>
              </w:rPr>
              <w:t>Entidad</w:t>
            </w:r>
            <w:proofErr w:type="spellEnd"/>
            <w:r w:rsidRPr="008617AD">
              <w:rPr>
                <w:rFonts w:ascii="Arial" w:hAnsi="Arial" w:cs="Arial"/>
                <w:sz w:val="24"/>
                <w:szCs w:val="24"/>
                <w:lang w:val="pt-BR"/>
              </w:rPr>
              <w:t xml:space="preserve"> Comercial:</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N° Registro SENAVE:</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Categoria de Registro</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proofErr w:type="spellStart"/>
            <w:r w:rsidRPr="008617AD">
              <w:rPr>
                <w:rFonts w:ascii="Arial" w:hAnsi="Arial" w:cs="Arial"/>
                <w:sz w:val="24"/>
                <w:szCs w:val="24"/>
                <w:lang w:val="pt-BR"/>
              </w:rPr>
              <w:t>Dirección</w:t>
            </w:r>
            <w:proofErr w:type="spellEnd"/>
            <w:r w:rsidRPr="008617AD">
              <w:rPr>
                <w:rFonts w:ascii="Arial" w:hAnsi="Arial" w:cs="Arial"/>
                <w:sz w:val="24"/>
                <w:szCs w:val="24"/>
                <w:lang w:val="pt-BR"/>
              </w:rPr>
              <w:t>:</w:t>
            </w:r>
          </w:p>
        </w:tc>
      </w:tr>
      <w:tr w:rsidR="00E56FDA" w:rsidRPr="008617AD" w:rsidTr="008617AD">
        <w:trPr>
          <w:cantSplit/>
        </w:trPr>
        <w:tc>
          <w:tcPr>
            <w:tcW w:w="0" w:type="auto"/>
            <w:gridSpan w:val="3"/>
            <w:shd w:val="clear" w:color="auto" w:fill="D9D9D9" w:themeFill="background1" w:themeFillShade="D9"/>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b/>
                <w:sz w:val="24"/>
                <w:szCs w:val="24"/>
                <w:lang w:val="pt-BR"/>
              </w:rPr>
              <w:t>DATOS DEL PRODUCTO</w:t>
            </w:r>
            <w:bookmarkStart w:id="0" w:name="_GoBack"/>
            <w:bookmarkEnd w:id="0"/>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Nombre Comercial:</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Ingrediente Activo/ Concentración:</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sz w:val="24"/>
                <w:szCs w:val="24"/>
              </w:rPr>
            </w:pPr>
            <w:r w:rsidRPr="008617AD">
              <w:rPr>
                <w:rFonts w:ascii="Arial" w:hAnsi="Arial" w:cs="Arial"/>
                <w:sz w:val="24"/>
                <w:szCs w:val="24"/>
              </w:rPr>
              <w:t>Tipo de Formulación:</w:t>
            </w:r>
          </w:p>
        </w:tc>
      </w:tr>
      <w:tr w:rsidR="00E56FDA" w:rsidRPr="008617AD" w:rsidTr="008617AD">
        <w:trPr>
          <w:cantSplit/>
        </w:trPr>
        <w:tc>
          <w:tcPr>
            <w:tcW w:w="0" w:type="auto"/>
            <w:shd w:val="clear" w:color="auto" w:fill="D9D9D9" w:themeFill="background1" w:themeFillShade="D9"/>
          </w:tcPr>
          <w:p w:rsidR="00E56FDA" w:rsidRPr="008617AD" w:rsidRDefault="00E56FDA" w:rsidP="00EA68B8">
            <w:pPr>
              <w:pStyle w:val="Sinespaciado"/>
              <w:spacing w:after="120"/>
              <w:contextualSpacing/>
              <w:jc w:val="both"/>
              <w:rPr>
                <w:rFonts w:ascii="Arial" w:hAnsi="Arial" w:cs="Arial"/>
                <w:b/>
                <w:sz w:val="24"/>
                <w:szCs w:val="24"/>
              </w:rPr>
            </w:pPr>
          </w:p>
        </w:tc>
        <w:tc>
          <w:tcPr>
            <w:tcW w:w="0" w:type="auto"/>
            <w:shd w:val="clear" w:color="auto" w:fill="D9D9D9" w:themeFill="background1" w:themeFillShade="D9"/>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Archivo</w:t>
            </w:r>
          </w:p>
        </w:tc>
        <w:tc>
          <w:tcPr>
            <w:tcW w:w="0" w:type="auto"/>
            <w:shd w:val="clear" w:color="auto" w:fill="D9D9D9" w:themeFill="background1" w:themeFillShade="D9"/>
          </w:tcPr>
          <w:p w:rsidR="00E56FDA" w:rsidRPr="008617AD" w:rsidRDefault="00E56FDA" w:rsidP="00EA68B8">
            <w:pPr>
              <w:pStyle w:val="Sinespaciado"/>
              <w:spacing w:after="120"/>
              <w:contextualSpacing/>
              <w:jc w:val="center"/>
              <w:rPr>
                <w:rFonts w:ascii="Arial" w:hAnsi="Arial" w:cs="Arial"/>
                <w:b/>
                <w:sz w:val="24"/>
                <w:szCs w:val="24"/>
              </w:rPr>
            </w:pPr>
            <w:r w:rsidRPr="008617AD">
              <w:rPr>
                <w:rFonts w:ascii="Arial" w:hAnsi="Arial" w:cs="Arial"/>
                <w:b/>
                <w:sz w:val="24"/>
                <w:szCs w:val="24"/>
              </w:rPr>
              <w:t>Página</w:t>
            </w: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1. COMPOSICIÓN:</w:t>
            </w:r>
          </w:p>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1.1  Contenido de sustancia(s) activa(s) grado técnico expresado en porcentaje o p/p </w:t>
            </w:r>
            <w:proofErr w:type="spellStart"/>
            <w:r w:rsidRPr="008617AD">
              <w:rPr>
                <w:rFonts w:ascii="Arial" w:hAnsi="Arial" w:cs="Arial"/>
                <w:sz w:val="24"/>
                <w:szCs w:val="24"/>
              </w:rPr>
              <w:t>ó</w:t>
            </w:r>
            <w:proofErr w:type="spellEnd"/>
            <w:r w:rsidRPr="008617AD">
              <w:rPr>
                <w:rFonts w:ascii="Arial" w:hAnsi="Arial" w:cs="Arial"/>
                <w:sz w:val="24"/>
                <w:szCs w:val="24"/>
              </w:rPr>
              <w:t xml:space="preserve"> p/v.</w:t>
            </w:r>
          </w:p>
        </w:tc>
        <w:tc>
          <w:tcPr>
            <w:tcW w:w="0" w:type="auto"/>
          </w:tcPr>
          <w:p w:rsidR="00E56FDA" w:rsidRPr="008617AD" w:rsidRDefault="00E56FDA" w:rsidP="00EA68B8">
            <w:pPr>
              <w:pStyle w:val="Sinespaciado"/>
              <w:spacing w:after="120"/>
              <w:contextualSpacing/>
              <w:jc w:val="both"/>
              <w:rPr>
                <w:rFonts w:ascii="Arial" w:hAnsi="Arial" w:cs="Arial"/>
                <w:b/>
                <w:sz w:val="24"/>
                <w:szCs w:val="24"/>
              </w:rPr>
            </w:pPr>
          </w:p>
        </w:tc>
        <w:tc>
          <w:tcPr>
            <w:tcW w:w="0" w:type="auto"/>
          </w:tcPr>
          <w:p w:rsidR="00E56FDA" w:rsidRPr="008617AD" w:rsidRDefault="00E56FDA" w:rsidP="00EA68B8">
            <w:pPr>
              <w:pStyle w:val="Sinespaciado"/>
              <w:spacing w:after="120"/>
              <w:contextualSpacing/>
              <w:jc w:val="center"/>
              <w:rPr>
                <w:rFonts w:ascii="Arial" w:hAnsi="Arial" w:cs="Arial"/>
                <w:b/>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1.2  Método de análisis para la determinación del contenido de sustancia(s) activa(s).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2.  PROPIEDADES FÍSICAS Y QUÍMICAS:</w:t>
            </w:r>
          </w:p>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2.1  Aspecto: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2.1.1  Estado físico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2.1.2  Color</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2.1.3  Olor</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2.2  Estabilidad en el almacenamiento: para líquidos y sólidos CIPAC MT46</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2.3  Punto de Ebullición: (Líquidas a temperatura ambiente) OECD 103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2.4  Densidad: OECD 109- CIPAC MT 3/ MT 58.4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2.5 Inflamabilidad: Punto de Inflamación: Es la temperatura mínima a la cual, en condiciones normalizadas, los vapores presentes en la superficie de un líquido se inflaman al aproximar la llama de ensayo, sin que prosiga la combustión. Determinar el punto de inflamación para todas aquellas sustancias, líquidas o sólidas (estas últimas, sólo, las que tengan punto de fusión menor a SETENTA GRADOS CENTIGRADOS (70 </w:t>
            </w:r>
            <w:proofErr w:type="spellStart"/>
            <w:r w:rsidRPr="008617AD">
              <w:rPr>
                <w:rFonts w:ascii="Arial" w:hAnsi="Arial" w:cs="Arial"/>
                <w:sz w:val="24"/>
                <w:szCs w:val="24"/>
              </w:rPr>
              <w:t>ºC</w:t>
            </w:r>
            <w:proofErr w:type="spellEnd"/>
            <w:r w:rsidRPr="008617AD">
              <w:rPr>
                <w:rFonts w:ascii="Arial" w:hAnsi="Arial" w:cs="Arial"/>
                <w:sz w:val="24"/>
                <w:szCs w:val="24"/>
              </w:rPr>
              <w:t xml:space="preserve">) que despidan vapores inflamables al ser calentadas a temperaturas menores o igual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xml:space="preserve">) (en vaso abierto). Para el resto de las sustancias que despiden vapores inflamables al ser calentadas a temperaturas mayores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xml:space="preserve">), se indicará: Punto de inflamación mayor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CIPAC MT 12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2.6  Acidez/alcalinidad y pH</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lastRenderedPageBreak/>
              <w:t>2.7  Explosividad: Si la formulación contiene algún componente explosivo (EEC A.14; FIFRA 63-16)</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3.  PROPIEDADES FÍSICAS RELACIONADAS CON SU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  Humectabilidad: Para polvos dispersables y mojables (CIPAC MT 53.3)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3.2  Persistencia de la espuma para formulados que se aplican con agua CIPAC MT 47)</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3.3  </w:t>
            </w:r>
            <w:proofErr w:type="spellStart"/>
            <w:r w:rsidRPr="008617AD">
              <w:rPr>
                <w:rFonts w:ascii="Arial" w:hAnsi="Arial" w:cs="Arial"/>
                <w:sz w:val="24"/>
                <w:szCs w:val="24"/>
              </w:rPr>
              <w:t>Suspensibilidad</w:t>
            </w:r>
            <w:proofErr w:type="spellEnd"/>
            <w:r w:rsidRPr="008617AD">
              <w:rPr>
                <w:rFonts w:ascii="Arial" w:hAnsi="Arial" w:cs="Arial"/>
                <w:sz w:val="24"/>
                <w:szCs w:val="24"/>
              </w:rPr>
              <w:t xml:space="preserve">: Para gránulos </w:t>
            </w:r>
            <w:proofErr w:type="spellStart"/>
            <w:r w:rsidRPr="008617AD">
              <w:rPr>
                <w:rFonts w:ascii="Arial" w:hAnsi="Arial" w:cs="Arial"/>
                <w:sz w:val="24"/>
                <w:szCs w:val="24"/>
              </w:rPr>
              <w:t>dispersables</w:t>
            </w:r>
            <w:proofErr w:type="spellEnd"/>
            <w:r w:rsidRPr="008617AD">
              <w:rPr>
                <w:rFonts w:ascii="Arial" w:hAnsi="Arial" w:cs="Arial"/>
                <w:sz w:val="24"/>
                <w:szCs w:val="24"/>
              </w:rPr>
              <w:t xml:space="preserve"> (WG) (CIPAC MT 168); para polvos mojables (WP) (CIPAC MT 15); para suspensiones concentradas (SC) (CIPAC MT 161)</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3.4  Análisis granulométrico en húmedo: Para las suspensiones concentradas y polvos mojables (CIPAC MT 59.3).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3.5  Análisis granulométrico en seco: Para gránulos y polvos (CIPAC MT 59.1)</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3.6  Estabilidad de la emulsión: Para concentrados emulsionables (CIPAC 36.1 y MT 22).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3.7  </w:t>
            </w:r>
            <w:proofErr w:type="spellStart"/>
            <w:r w:rsidRPr="008617AD">
              <w:rPr>
                <w:rFonts w:ascii="Arial" w:hAnsi="Arial" w:cs="Arial"/>
                <w:sz w:val="24"/>
                <w:szCs w:val="24"/>
              </w:rPr>
              <w:t>Escorrosividad</w:t>
            </w:r>
            <w:proofErr w:type="spellEnd"/>
            <w:r w:rsidRPr="008617AD">
              <w:rPr>
                <w:rFonts w:ascii="Arial" w:hAnsi="Arial" w:cs="Arial"/>
                <w:sz w:val="24"/>
                <w:szCs w:val="24"/>
              </w:rPr>
              <w:t>: FIFRA 63-20; EEC A. 17</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3.8  Incompatibilidad con otros productos fitosanitarios y/o fertilizantes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3.9  Densidad: sólidos y líquidos (CIPAC MT 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3.10  Punto de inflamación: Para aceites y líquidos, (CIPAC MT 12)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3.11 Viscosidad: Para aceites, suspensiones y concentrados emulsionables (CIPAC MT 22)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3.12 Índice de </w:t>
            </w:r>
            <w:proofErr w:type="spellStart"/>
            <w:r w:rsidRPr="008617AD">
              <w:rPr>
                <w:rFonts w:ascii="Arial" w:hAnsi="Arial" w:cs="Arial"/>
                <w:sz w:val="24"/>
                <w:szCs w:val="24"/>
              </w:rPr>
              <w:t>sulfonación</w:t>
            </w:r>
            <w:proofErr w:type="spellEnd"/>
            <w:r w:rsidRPr="008617AD">
              <w:rPr>
                <w:rFonts w:ascii="Arial" w:hAnsi="Arial" w:cs="Arial"/>
                <w:sz w:val="24"/>
                <w:szCs w:val="24"/>
              </w:rPr>
              <w:t xml:space="preserve">: (residuo no </w:t>
            </w:r>
            <w:proofErr w:type="spellStart"/>
            <w:r w:rsidRPr="008617AD">
              <w:rPr>
                <w:rFonts w:ascii="Arial" w:hAnsi="Arial" w:cs="Arial"/>
                <w:sz w:val="24"/>
                <w:szCs w:val="24"/>
              </w:rPr>
              <w:t>sulfonable</w:t>
            </w:r>
            <w:proofErr w:type="spellEnd"/>
            <w:r w:rsidRPr="008617AD">
              <w:rPr>
                <w:rFonts w:ascii="Arial" w:hAnsi="Arial" w:cs="Arial"/>
                <w:sz w:val="24"/>
                <w:szCs w:val="24"/>
              </w:rPr>
              <w:t xml:space="preserve"> para aceites y aceites emulsionables).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3.13 Dispersión: Para gránulos dispersables (CIPAC MT 174).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3.14 Desprendimiento de gases: Para gránulos generadores de gas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3.15 Soltura o fluidez: Para polvos secos (CIPAC MT 44).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3.16  Índice de Iodo y de saponificación: Sólo para aceites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3.17  Tensión superficial</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4.  DATOS SOBRE LA APLICACIÓN</w:t>
            </w:r>
          </w:p>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Los ensayos deberán realizarse siguiendo lo establecido por el PROTOCOLO PATRÓN para ensayos de eficacia agronómica de plaguicidas agrícolas.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  Ámbito de Aplicación (invernáculo, campo, etc.).</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4.2  Efecto sobre la plagas en los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4.3  Condiciones en que el producto puede o no ser utilizado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 xml:space="preserve">4.4 Dosis. Información correspondiente a los resultados de los ensayos de </w:t>
            </w:r>
            <w:proofErr w:type="spellStart"/>
            <w:r w:rsidRPr="008617AD">
              <w:rPr>
                <w:rFonts w:ascii="Arial" w:hAnsi="Arial" w:cs="Arial"/>
                <w:sz w:val="24"/>
                <w:szCs w:val="24"/>
                <w:lang w:val="es-PY"/>
              </w:rPr>
              <w:t>eficácia</w:t>
            </w:r>
            <w:proofErr w:type="spellEnd"/>
            <w:r w:rsidRPr="008617AD">
              <w:rPr>
                <w:rFonts w:ascii="Arial" w:hAnsi="Arial" w:cs="Arial"/>
                <w:sz w:val="24"/>
                <w:szCs w:val="24"/>
                <w:lang w:val="es-PY"/>
              </w:rPr>
              <w:t xml:space="preserve"> Agronómica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4.5  Número y momentos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4.6  Método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lastRenderedPageBreak/>
              <w:t>4.7  Instrucciones de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4.8  Tiempo de reingreso al área tratada propuesta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4.9  Periodo de carencia, propuestos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4.10  Efectos sobre cultivos subsiguientes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4.11 Fitotoxicidad. Información correspondiente a los resultados de los ensayos de fitotoxicidad</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4.12 Usos propuestos y aprobados en otros países, especialmente en la región MERCOSUR</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/COSAVE y en otros países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5.  ETIQUETADO</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  Consideraciones generales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5.1.1 El etiquetado se regirá por la directriz general FAO “Sobre Etiquetado Correcto de los</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Plaguicidas”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5.1.2 Se adoptará el sistema de clasificación de los plaguicidas según sus riesgos, desarrollado por la OMS (Versión más reciente)</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5.1.3  Se adoptarán los pictogramas para la etiqueta de los plaguicidas recomendado por la FAO.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5.1.4  Se podrán adoptar símbolos pictográficos específicos (N contemplados por FAO para incluir el etiquetado.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  Información básica que deberá figurar en la etiqueta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 Datos sobre la aplicación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5.2.1.1  Ámbito de Aplicación (invernáculo, campo, etc.).</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5.2.1.2  Efecto sobre las plagas en los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5.2.1.3  Condiciones en que el producto puede o no ser utilizado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5.2.1.4   Dosis. Información correspondiente a los resultados de los ensayos de    eficacia Agronómica.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5.2.1.5  Número y momentos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5.2.1.6  Método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5.2.1.7  Instrucciones de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5.2.1.8  Tiempo de reingreso al área tratada propuesta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5.2.1.9  Período de carencia, propuestos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5.2.1.10 Efectos sobre cultivos subsiguientes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lastRenderedPageBreak/>
              <w:t>5.2.1.11 Fitotoxicidad. Información correspondiente a los resultados de los    ensayos de Fitotoxicidad</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5.2.1.12 Compatibilidad con otros productos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6.  ENVASES Y EMBALAJES PROPUESTOS</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  Envases.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6.1.1  Tipo(s).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6.1.2  Material(es).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6.1.3  Capacidad.</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6.1.4  Resistencia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6.1.5  Sistema de cierre</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6.2  Embalajes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6.2.1  Tipo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6.2.2  Material</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6.2.3  Resistencia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6.3  Acción del Producto sobre el material de los envases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6.4  Procedimientos para la descontaminación y destino final de los envases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7.  DATOS SOBRE EL MANEJO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7.1  Método de destrucción, eliminación o inutilización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7.2  Identidad de los productos de combustión originados en casos de incendio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7.3  Procedimiento de limpieza y descontaminación del equipo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8.  DATOS TOXICOLÓGICOS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8.1  Toxicidad aguda para mamíferos.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8.1.1  Oral: Estudio que se requerirá en todos los casos excepto si el producto es un gas o altamente volátil.</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 xml:space="preserve">8.1.2 Dérmica: </w:t>
            </w:r>
            <w:proofErr w:type="gramStart"/>
            <w:r w:rsidRPr="008617AD">
              <w:rPr>
                <w:rFonts w:ascii="Arial" w:hAnsi="Arial" w:cs="Arial"/>
                <w:sz w:val="24"/>
                <w:szCs w:val="24"/>
                <w:lang w:val="es-PY"/>
              </w:rPr>
              <w:t>Esta estudio</w:t>
            </w:r>
            <w:proofErr w:type="gramEnd"/>
            <w:r w:rsidRPr="008617AD">
              <w:rPr>
                <w:rFonts w:ascii="Arial" w:hAnsi="Arial" w:cs="Arial"/>
                <w:sz w:val="24"/>
                <w:szCs w:val="24"/>
                <w:lang w:val="es-PY"/>
              </w:rPr>
              <w:t xml:space="preserve">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8.1.3   Inhalatoria: Cuando el producto sea material inhalable o bajo las condiciones de uso resulten materiales inhalables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8.1.4  Irritación cutánea y ocular</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lastRenderedPageBreak/>
              <w:t>8.1.4.1 Irritación cutánea.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8.1.4.2 Irritación ocular.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8.1.5 Sensibilización cutánea. Este estudio se requerirá a menos que no ocurran en Condiciones de uso exposiciones dermales repetidas.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 Informaciones médicas obligatorias.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8.2.1 Diagnóstico y síntomas de intoxicación.</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8.2.2 Tratamientos propuestos.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8.2.3 Primeros auxilios.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8.2.4 Antídotos.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8.2.5 Tratamiento médico.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8.3 Informaciones médicas complementarias (cuando estén disponibles).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8.3.1 Observación sobre la población abierta y estudios epidemiológicos.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8.3.2 Observación directa de casos clínicos, accidentales y deliberados.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b/>
                <w:bCs/>
                <w:iCs/>
                <w:sz w:val="24"/>
                <w:szCs w:val="24"/>
                <w:lang w:val="es-PY"/>
              </w:rPr>
            </w:pPr>
            <w:r w:rsidRPr="008617AD">
              <w:rPr>
                <w:rFonts w:ascii="Arial" w:hAnsi="Arial" w:cs="Arial"/>
                <w:b/>
                <w:bCs/>
                <w:iCs/>
                <w:sz w:val="24"/>
                <w:szCs w:val="24"/>
                <w:lang w:val="es-PY"/>
              </w:rPr>
              <w:t>9. DATOS DE LOS EFECTOS SOBRE EL AMBIENTE.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 Efectos tóxicos sobre especies no mamíferas.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9.1.1 Efectos tóxicos sobre las aves.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9.1.1.1 Toxicidad oral letal media de dosis única, en faisán, codorniz, pato silvestre y otras especies validadas con un xenobiótico lipofílico.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9.1.1.2 Toxicidad oral letal media </w:t>
            </w:r>
            <w:proofErr w:type="spellStart"/>
            <w:r w:rsidRPr="008617AD">
              <w:rPr>
                <w:rFonts w:ascii="Arial" w:hAnsi="Arial" w:cs="Arial"/>
                <w:sz w:val="24"/>
                <w:szCs w:val="24"/>
                <w:lang w:val="es-PY"/>
              </w:rPr>
              <w:t>dietaria</w:t>
            </w:r>
            <w:proofErr w:type="spellEnd"/>
            <w:r w:rsidRPr="008617AD">
              <w:rPr>
                <w:rFonts w:ascii="Arial" w:hAnsi="Arial" w:cs="Arial"/>
                <w:sz w:val="24"/>
                <w:szCs w:val="24"/>
                <w:lang w:val="es-PY"/>
              </w:rPr>
              <w:t>, en faisán, codorniz, pato silvestre y otras especies validadas con un xenobiótico lipofílico.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9.1.2 Efectos tóxicos sobre organismos acuáticos.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9.1.2.1 Concentración letal media de 96 horas, en trucha, arco iris o carpa 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b/>
                <w:bCs/>
                <w:i/>
                <w:iCs/>
                <w:sz w:val="24"/>
                <w:szCs w:val="24"/>
                <w:lang w:val="es-PY"/>
              </w:rPr>
            </w:pPr>
            <w:r w:rsidRPr="008617AD">
              <w:rPr>
                <w:rFonts w:ascii="Arial" w:hAnsi="Arial" w:cs="Arial"/>
                <w:sz w:val="24"/>
                <w:szCs w:val="24"/>
                <w:lang w:val="es-PY"/>
              </w:rPr>
              <w:t xml:space="preserve">9.1.2.2 Concentración letal media en </w:t>
            </w:r>
            <w:proofErr w:type="spellStart"/>
            <w:r w:rsidRPr="008617AD">
              <w:rPr>
                <w:rFonts w:ascii="Arial" w:hAnsi="Arial" w:cs="Arial"/>
                <w:sz w:val="24"/>
                <w:szCs w:val="24"/>
                <w:lang w:val="es-PY"/>
              </w:rPr>
              <w:t>microcrustacios</w:t>
            </w:r>
            <w:proofErr w:type="spellEnd"/>
            <w:r w:rsidRPr="008617AD">
              <w:rPr>
                <w:rFonts w:ascii="Arial" w:hAnsi="Arial" w:cs="Arial"/>
                <w:sz w:val="24"/>
                <w:szCs w:val="24"/>
                <w:lang w:val="es-PY"/>
              </w:rPr>
              <w:t xml:space="preserve"> en </w:t>
            </w:r>
            <w:proofErr w:type="spellStart"/>
            <w:r w:rsidRPr="008617AD">
              <w:rPr>
                <w:rFonts w:ascii="Arial" w:hAnsi="Arial" w:cs="Arial"/>
                <w:i/>
                <w:iCs/>
                <w:sz w:val="24"/>
                <w:szCs w:val="24"/>
                <w:lang w:val="es-PY"/>
              </w:rPr>
              <w:t>Daphnia</w:t>
            </w:r>
            <w:proofErr w:type="spellEnd"/>
            <w:r w:rsidRPr="008617AD">
              <w:rPr>
                <w:rFonts w:ascii="Arial" w:hAnsi="Arial" w:cs="Arial"/>
                <w:i/>
                <w:iCs/>
                <w:sz w:val="24"/>
                <w:szCs w:val="24"/>
                <w:lang w:val="es-PY"/>
              </w:rPr>
              <w:t xml:space="preserve"> magn</w:t>
            </w:r>
            <w:r w:rsidRPr="008617AD">
              <w:rPr>
                <w:rFonts w:ascii="Arial" w:hAnsi="Arial" w:cs="Arial"/>
                <w:b/>
                <w:bCs/>
                <w:i/>
                <w:iCs/>
                <w:sz w:val="24"/>
                <w:szCs w:val="24"/>
                <w:lang w:val="es-PY"/>
              </w:rPr>
              <w:t xml:space="preserve">a </w:t>
            </w:r>
            <w:r w:rsidRPr="008617AD">
              <w:rPr>
                <w:rFonts w:ascii="Arial" w:hAnsi="Arial" w:cs="Arial"/>
                <w:sz w:val="24"/>
                <w:szCs w:val="24"/>
                <w:lang w:val="es-PY"/>
              </w:rPr>
              <w:t>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i/>
                <w:iCs/>
                <w:sz w:val="24"/>
                <w:szCs w:val="24"/>
                <w:lang w:val="es-PY"/>
              </w:rPr>
            </w:pPr>
            <w:r w:rsidRPr="008617AD">
              <w:rPr>
                <w:rFonts w:ascii="Arial" w:hAnsi="Arial" w:cs="Arial"/>
                <w:sz w:val="24"/>
                <w:szCs w:val="24"/>
                <w:lang w:val="es-PY"/>
              </w:rPr>
              <w:lastRenderedPageBreak/>
              <w:t xml:space="preserve">9.1.2.3 Concentración de inhibición media en algas. </w:t>
            </w:r>
            <w:proofErr w:type="spellStart"/>
            <w:r w:rsidRPr="008617AD">
              <w:rPr>
                <w:rFonts w:ascii="Arial" w:hAnsi="Arial" w:cs="Arial"/>
                <w:i/>
                <w:iCs/>
                <w:sz w:val="24"/>
                <w:szCs w:val="24"/>
                <w:lang w:val="es-PY"/>
              </w:rPr>
              <w:t>Selenastrum</w:t>
            </w:r>
            <w:proofErr w:type="spellEnd"/>
            <w:r w:rsidRPr="008617AD">
              <w:rPr>
                <w:rFonts w:ascii="Arial" w:hAnsi="Arial" w:cs="Arial"/>
                <w:i/>
                <w:iCs/>
                <w:sz w:val="24"/>
                <w:szCs w:val="24"/>
                <w:lang w:val="es-PY"/>
              </w:rPr>
              <w:t xml:space="preserve"> </w:t>
            </w:r>
            <w:proofErr w:type="spellStart"/>
            <w:r w:rsidRPr="008617AD">
              <w:rPr>
                <w:rFonts w:ascii="Arial" w:hAnsi="Arial" w:cs="Arial"/>
                <w:i/>
                <w:iCs/>
                <w:sz w:val="24"/>
                <w:szCs w:val="24"/>
                <w:lang w:val="es-PY"/>
              </w:rPr>
              <w:t>capricoednutum</w:t>
            </w:r>
            <w:proofErr w:type="spellEnd"/>
            <w:r w:rsidRPr="008617AD">
              <w:rPr>
                <w:rFonts w:ascii="Arial" w:hAnsi="Arial" w:cs="Arial"/>
                <w:i/>
                <w:iCs/>
                <w:sz w:val="24"/>
                <w:szCs w:val="24"/>
                <w:lang w:val="es-PY"/>
              </w:rPr>
              <w:t xml:space="preserve"> </w:t>
            </w:r>
            <w:r w:rsidRPr="008617AD">
              <w:rPr>
                <w:rFonts w:ascii="Arial" w:hAnsi="Arial" w:cs="Arial"/>
                <w:sz w:val="24"/>
                <w:szCs w:val="24"/>
                <w:lang w:val="es-PY"/>
              </w:rPr>
              <w:t>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9.1.3 Efectos tóxicos sobre abejas.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9.1.3.1 Toxicidad oral letal media en </w:t>
            </w:r>
            <w:proofErr w:type="spellStart"/>
            <w:r w:rsidRPr="008617AD">
              <w:rPr>
                <w:rFonts w:ascii="Arial" w:hAnsi="Arial" w:cs="Arial"/>
                <w:i/>
                <w:iCs/>
                <w:sz w:val="24"/>
                <w:szCs w:val="24"/>
                <w:lang w:val="es-PY"/>
              </w:rPr>
              <w:t>Aphis</w:t>
            </w:r>
            <w:proofErr w:type="spellEnd"/>
            <w:r w:rsidRPr="008617AD">
              <w:rPr>
                <w:rFonts w:ascii="Arial" w:hAnsi="Arial" w:cs="Arial"/>
                <w:i/>
                <w:iCs/>
                <w:sz w:val="24"/>
                <w:szCs w:val="24"/>
                <w:lang w:val="es-PY"/>
              </w:rPr>
              <w:t xml:space="preserve"> </w:t>
            </w:r>
            <w:proofErr w:type="spellStart"/>
            <w:r w:rsidRPr="008617AD">
              <w:rPr>
                <w:rFonts w:ascii="Arial" w:hAnsi="Arial" w:cs="Arial"/>
                <w:i/>
                <w:iCs/>
                <w:sz w:val="24"/>
                <w:szCs w:val="24"/>
                <w:lang w:val="es-PY"/>
              </w:rPr>
              <w:t>mellífera</w:t>
            </w:r>
            <w:proofErr w:type="spell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9.2 Efectos sobre el ambiente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 Comportamiento en el suelo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9.2.1.1 </w:t>
            </w:r>
            <w:proofErr w:type="spellStart"/>
            <w:r w:rsidRPr="008617AD">
              <w:rPr>
                <w:rFonts w:ascii="Arial" w:hAnsi="Arial" w:cs="Arial"/>
                <w:sz w:val="24"/>
                <w:szCs w:val="24"/>
                <w:lang w:val="es-PY"/>
              </w:rPr>
              <w:t>Residualidad</w:t>
            </w:r>
            <w:proofErr w:type="spell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9.2.1.2 Lixiviación.</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9.2.1.3 Degradabilidad.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 Comportamiento en el agua y en el aire.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9.2.2.1 </w:t>
            </w:r>
            <w:proofErr w:type="spellStart"/>
            <w:r w:rsidRPr="008617AD">
              <w:rPr>
                <w:rFonts w:ascii="Arial" w:hAnsi="Arial" w:cs="Arial"/>
                <w:sz w:val="24"/>
                <w:szCs w:val="24"/>
                <w:lang w:val="es-PY"/>
              </w:rPr>
              <w:t>Residualidad</w:t>
            </w:r>
            <w:proofErr w:type="spellEnd"/>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9.2.2.2 Degradabilidad.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9.2.2.3 Volatibilidad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bl>
    <w:p w:rsidR="00002058" w:rsidRDefault="00002058"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Pr="009D263B" w:rsidRDefault="00656B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p w:rsidR="00355CC1" w:rsidRPr="00464292" w:rsidRDefault="00355CC1" w:rsidP="00002058">
      <w:pPr>
        <w:spacing w:before="240"/>
        <w:ind w:hanging="142"/>
        <w:jc w:val="center"/>
        <w:rPr>
          <w:lang w:val="es-PY"/>
        </w:rPr>
      </w:pPr>
    </w:p>
    <w:sectPr w:rsidR="00355CC1" w:rsidRPr="00464292" w:rsidSect="00227AD8">
      <w:headerReference w:type="default" r:id="rId8"/>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80" w:rsidRDefault="00C97380" w:rsidP="00CF2CE6">
      <w:r>
        <w:separator/>
      </w:r>
    </w:p>
  </w:endnote>
  <w:endnote w:type="continuationSeparator" w:id="0">
    <w:p w:rsidR="00C97380" w:rsidRDefault="00C97380"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80" w:rsidRDefault="00C97380" w:rsidP="00CF2CE6">
      <w:r>
        <w:separator/>
      </w:r>
    </w:p>
  </w:footnote>
  <w:footnote w:type="continuationSeparator" w:id="0">
    <w:p w:rsidR="00C97380" w:rsidRDefault="00C97380" w:rsidP="00CF2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8617AD" w:rsidRPr="008617AD" w:rsidTr="00E86251">
      <w:trPr>
        <w:trHeight w:val="1280"/>
      </w:trPr>
      <w:tc>
        <w:tcPr>
          <w:tcW w:w="1669" w:type="dxa"/>
          <w:tcBorders>
            <w:top w:val="single" w:sz="2" w:space="0" w:color="000000"/>
            <w:left w:val="single" w:sz="2" w:space="0" w:color="000000"/>
            <w:bottom w:val="single" w:sz="2" w:space="0" w:color="000000"/>
            <w:right w:val="single" w:sz="2" w:space="0" w:color="000000"/>
          </w:tcBorders>
        </w:tcPr>
        <w:p w:rsidR="008617AD" w:rsidRPr="008617AD" w:rsidRDefault="008617AD" w:rsidP="008617AD">
          <w:pPr>
            <w:spacing w:line="259" w:lineRule="auto"/>
            <w:rPr>
              <w:rFonts w:ascii="Arial" w:hAnsi="Arial" w:cs="Arial"/>
              <w:sz w:val="22"/>
              <w:szCs w:val="24"/>
            </w:rPr>
          </w:pPr>
          <w:r w:rsidRPr="008617AD">
            <w:rPr>
              <w:rFonts w:ascii="Arial" w:hAnsi="Arial" w:cs="Arial"/>
              <w:noProof/>
              <w:sz w:val="22"/>
              <w:szCs w:val="24"/>
              <w:lang w:val="es-PY" w:eastAsia="es-PY"/>
            </w:rPr>
            <w:drawing>
              <wp:anchor distT="0" distB="0" distL="114300" distR="114300" simplePos="0" relativeHeight="251659264" behindDoc="1" locked="0" layoutInCell="1" allowOverlap="1" wp14:anchorId="235807A6" wp14:editId="032A35F0">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8617AD">
            <w:rPr>
              <w:rFonts w:ascii="Arial" w:hAnsi="Arial" w:cs="Arial"/>
              <w:sz w:val="22"/>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8617AD" w:rsidRPr="008617AD" w:rsidRDefault="008617AD" w:rsidP="008617AD">
          <w:pPr>
            <w:pStyle w:val="Sinespaciado"/>
            <w:contextualSpacing/>
            <w:jc w:val="center"/>
            <w:rPr>
              <w:rFonts w:ascii="Arial" w:hAnsi="Arial" w:cs="Arial"/>
              <w:b/>
              <w:szCs w:val="24"/>
            </w:rPr>
          </w:pPr>
          <w:r w:rsidRPr="008617AD">
            <w:rPr>
              <w:rFonts w:ascii="Arial" w:hAnsi="Arial" w:cs="Arial"/>
              <w:b/>
              <w:szCs w:val="24"/>
            </w:rPr>
            <w:t>ANEXO VI</w:t>
          </w:r>
          <w:r w:rsidRPr="008617AD">
            <w:rPr>
              <w:rFonts w:ascii="Arial" w:hAnsi="Arial" w:cs="Arial"/>
              <w:szCs w:val="24"/>
            </w:rPr>
            <w:t xml:space="preserve">. </w:t>
          </w:r>
          <w:r w:rsidRPr="008617AD">
            <w:rPr>
              <w:rFonts w:ascii="Arial" w:hAnsi="Arial" w:cs="Arial"/>
              <w:b/>
              <w:szCs w:val="24"/>
            </w:rPr>
            <w:t>INDICE.</w:t>
          </w:r>
          <w:r w:rsidRPr="008617AD">
            <w:rPr>
              <w:rFonts w:ascii="Arial" w:hAnsi="Arial" w:cs="Arial"/>
              <w:szCs w:val="24"/>
            </w:rPr>
            <w:t xml:space="preserve"> ESTUDIOS SOLICITADOS EN EL CUERPO III – CUERPO TÉCNICO, PARA EL REGISTRO DE PRODUCTOS FORMULADOS EN BASE A SUSTANCIA ACTIVA QUÍMICA Y BIOQUÍMICA NUEVA SIN ANTECEDENTES DE USO</w:t>
          </w:r>
        </w:p>
        <w:p w:rsidR="008617AD" w:rsidRPr="008617AD" w:rsidRDefault="008617AD" w:rsidP="008617AD">
          <w:pPr>
            <w:spacing w:line="259" w:lineRule="auto"/>
            <w:ind w:left="3"/>
            <w:jc w:val="center"/>
            <w:rPr>
              <w:rFonts w:ascii="Arial" w:hAnsi="Arial" w:cs="Arial"/>
              <w:sz w:val="22"/>
              <w:szCs w:val="24"/>
              <w:lang w:val="es-PY"/>
            </w:rPr>
          </w:pPr>
        </w:p>
      </w:tc>
      <w:tc>
        <w:tcPr>
          <w:tcW w:w="3327" w:type="dxa"/>
          <w:tcBorders>
            <w:top w:val="single" w:sz="2" w:space="0" w:color="000000"/>
            <w:left w:val="single" w:sz="2" w:space="0" w:color="000000"/>
            <w:bottom w:val="single" w:sz="2" w:space="0" w:color="000000"/>
            <w:right w:val="single" w:sz="2" w:space="0" w:color="000000"/>
          </w:tcBorders>
        </w:tcPr>
        <w:p w:rsidR="008617AD" w:rsidRPr="008617AD" w:rsidRDefault="008617AD" w:rsidP="008617AD">
          <w:pPr>
            <w:pStyle w:val="Ttulo8"/>
            <w:spacing w:before="0" w:after="0"/>
            <w:contextualSpacing/>
            <w:jc w:val="both"/>
            <w:outlineLvl w:val="7"/>
            <w:rPr>
              <w:rFonts w:ascii="Arial" w:hAnsi="Arial" w:cs="Arial"/>
              <w:i w:val="0"/>
              <w:sz w:val="22"/>
            </w:rPr>
          </w:pPr>
          <w:r w:rsidRPr="008617AD">
            <w:rPr>
              <w:rFonts w:ascii="Arial" w:hAnsi="Arial" w:cs="Arial"/>
              <w:b/>
              <w:i w:val="0"/>
              <w:sz w:val="22"/>
              <w:lang w:val="es-PY"/>
            </w:rPr>
            <w:t>Código</w:t>
          </w:r>
          <w:r w:rsidRPr="008617AD">
            <w:rPr>
              <w:rFonts w:ascii="Arial" w:hAnsi="Arial" w:cs="Arial"/>
              <w:b/>
              <w:i w:val="0"/>
              <w:sz w:val="22"/>
            </w:rPr>
            <w:t xml:space="preserve">: </w:t>
          </w:r>
          <w:r w:rsidRPr="008617AD">
            <w:rPr>
              <w:rFonts w:ascii="Arial" w:hAnsi="Arial" w:cs="Arial"/>
              <w:i w:val="0"/>
              <w:sz w:val="22"/>
            </w:rPr>
            <w:t>FOR-</w:t>
          </w:r>
          <w:r>
            <w:rPr>
              <w:rFonts w:ascii="Arial" w:hAnsi="Arial" w:cs="Arial"/>
              <w:i w:val="0"/>
              <w:sz w:val="22"/>
            </w:rPr>
            <w:t>CTE</w:t>
          </w:r>
          <w:r w:rsidRPr="008617AD">
            <w:rPr>
              <w:rFonts w:ascii="Arial" w:hAnsi="Arial" w:cs="Arial"/>
              <w:i w:val="0"/>
              <w:sz w:val="22"/>
            </w:rPr>
            <w:t>-065</w:t>
          </w:r>
        </w:p>
        <w:p w:rsidR="008617AD" w:rsidRPr="008617AD" w:rsidRDefault="008617AD" w:rsidP="008617AD">
          <w:pPr>
            <w:rPr>
              <w:rFonts w:ascii="Arial" w:hAnsi="Arial" w:cs="Arial"/>
              <w:sz w:val="22"/>
              <w:szCs w:val="24"/>
            </w:rPr>
          </w:pPr>
          <w:r w:rsidRPr="008617AD">
            <w:rPr>
              <w:rFonts w:ascii="Arial" w:hAnsi="Arial" w:cs="Arial"/>
              <w:b/>
              <w:sz w:val="22"/>
              <w:szCs w:val="24"/>
              <w:lang w:val="es-PY"/>
            </w:rPr>
            <w:t>Emisor:</w:t>
          </w:r>
          <w:r w:rsidRPr="008617AD">
            <w:rPr>
              <w:rFonts w:ascii="Arial" w:hAnsi="Arial" w:cs="Arial"/>
              <w:sz w:val="22"/>
              <w:szCs w:val="24"/>
              <w:lang w:val="es-PY"/>
            </w:rPr>
            <w:t xml:space="preserve"> </w:t>
          </w:r>
          <w:r>
            <w:rPr>
              <w:rFonts w:ascii="Arial" w:hAnsi="Arial" w:cs="Arial"/>
              <w:sz w:val="22"/>
              <w:szCs w:val="24"/>
              <w:lang w:val="es-PY"/>
            </w:rPr>
            <w:t>DGT-</w:t>
          </w:r>
          <w:r w:rsidRPr="008617AD">
            <w:rPr>
              <w:rFonts w:ascii="Arial" w:hAnsi="Arial" w:cs="Arial"/>
              <w:sz w:val="22"/>
              <w:szCs w:val="24"/>
              <w:lang w:val="es-PY"/>
            </w:rPr>
            <w:t>DAG</w:t>
          </w:r>
          <w:r>
            <w:rPr>
              <w:rFonts w:ascii="Arial" w:hAnsi="Arial" w:cs="Arial"/>
              <w:sz w:val="22"/>
              <w:szCs w:val="24"/>
              <w:lang w:val="es-PY"/>
            </w:rPr>
            <w:t>-CTE</w:t>
          </w:r>
        </w:p>
        <w:p w:rsidR="008617AD" w:rsidRPr="008617AD" w:rsidRDefault="008617AD" w:rsidP="008617AD">
          <w:pPr>
            <w:rPr>
              <w:rFonts w:ascii="Arial" w:hAnsi="Arial" w:cs="Arial"/>
              <w:sz w:val="22"/>
              <w:szCs w:val="24"/>
              <w:lang w:val="es-PY"/>
            </w:rPr>
          </w:pPr>
          <w:r w:rsidRPr="008617AD">
            <w:rPr>
              <w:rFonts w:ascii="Arial" w:hAnsi="Arial" w:cs="Arial"/>
              <w:b/>
              <w:bCs/>
              <w:sz w:val="22"/>
              <w:szCs w:val="24"/>
              <w:lang w:val="es-PY"/>
            </w:rPr>
            <w:t>Versión</w:t>
          </w:r>
          <w:r w:rsidRPr="008617AD">
            <w:rPr>
              <w:rFonts w:ascii="Arial" w:hAnsi="Arial" w:cs="Arial"/>
              <w:sz w:val="22"/>
              <w:szCs w:val="24"/>
              <w:lang w:val="es-PY"/>
            </w:rPr>
            <w:t>: 0</w:t>
          </w:r>
          <w:r>
            <w:rPr>
              <w:rFonts w:ascii="Arial" w:hAnsi="Arial" w:cs="Arial"/>
              <w:sz w:val="22"/>
              <w:szCs w:val="24"/>
              <w:lang w:val="es-PY"/>
            </w:rPr>
            <w:t>1</w:t>
          </w:r>
        </w:p>
        <w:p w:rsidR="008617AD" w:rsidRPr="008617AD" w:rsidRDefault="008617AD" w:rsidP="008617AD">
          <w:pPr>
            <w:contextualSpacing/>
            <w:rPr>
              <w:rFonts w:ascii="Arial" w:hAnsi="Arial" w:cs="Arial"/>
              <w:sz w:val="22"/>
              <w:szCs w:val="24"/>
              <w:lang w:val="es-PY"/>
            </w:rPr>
          </w:pPr>
          <w:r w:rsidRPr="008617AD">
            <w:rPr>
              <w:rFonts w:ascii="Arial" w:hAnsi="Arial" w:cs="Arial"/>
              <w:b/>
              <w:sz w:val="22"/>
              <w:szCs w:val="24"/>
              <w:lang w:val="es-PY"/>
            </w:rPr>
            <w:t>Vigente desde:</w:t>
          </w:r>
          <w:r w:rsidR="00806D72">
            <w:rPr>
              <w:rFonts w:ascii="Arial" w:hAnsi="Arial" w:cs="Arial"/>
              <w:sz w:val="22"/>
              <w:szCs w:val="24"/>
              <w:lang w:val="es-PY"/>
            </w:rPr>
            <w:t>02/05/2024</w:t>
          </w:r>
        </w:p>
        <w:p w:rsidR="008617AD" w:rsidRPr="008617AD" w:rsidRDefault="008617AD" w:rsidP="008617AD">
          <w:pPr>
            <w:pStyle w:val="Sinespaciado"/>
            <w:contextualSpacing/>
            <w:rPr>
              <w:rFonts w:ascii="Arial" w:hAnsi="Arial" w:cs="Arial"/>
              <w:b/>
              <w:szCs w:val="24"/>
            </w:rPr>
          </w:pPr>
          <w:r w:rsidRPr="008617AD">
            <w:rPr>
              <w:rFonts w:ascii="Arial" w:hAnsi="Arial" w:cs="Arial"/>
              <w:b/>
              <w:bCs/>
              <w:snapToGrid w:val="0"/>
              <w:szCs w:val="24"/>
            </w:rPr>
            <w:t>Página</w:t>
          </w:r>
          <w:r w:rsidRPr="008617AD">
            <w:rPr>
              <w:rFonts w:ascii="Arial" w:hAnsi="Arial" w:cs="Arial"/>
              <w:snapToGrid w:val="0"/>
              <w:szCs w:val="24"/>
            </w:rPr>
            <w:t xml:space="preserve"> : </w:t>
          </w:r>
          <w:r w:rsidRPr="008617AD">
            <w:rPr>
              <w:rStyle w:val="Nmerodepgina"/>
              <w:rFonts w:ascii="Arial" w:hAnsi="Arial" w:cs="Arial"/>
              <w:szCs w:val="24"/>
            </w:rPr>
            <w:fldChar w:fldCharType="begin"/>
          </w:r>
          <w:r w:rsidRPr="008617AD">
            <w:rPr>
              <w:rStyle w:val="Nmerodepgina"/>
              <w:rFonts w:ascii="Arial" w:hAnsi="Arial" w:cs="Arial"/>
              <w:szCs w:val="24"/>
            </w:rPr>
            <w:instrText xml:space="preserve"> PAGE </w:instrText>
          </w:r>
          <w:r w:rsidRPr="008617AD">
            <w:rPr>
              <w:rStyle w:val="Nmerodepgina"/>
              <w:rFonts w:ascii="Arial" w:hAnsi="Arial" w:cs="Arial"/>
              <w:szCs w:val="24"/>
            </w:rPr>
            <w:fldChar w:fldCharType="separate"/>
          </w:r>
          <w:r w:rsidR="00806D72">
            <w:rPr>
              <w:rStyle w:val="Nmerodepgina"/>
              <w:rFonts w:ascii="Arial" w:hAnsi="Arial" w:cs="Arial"/>
              <w:noProof/>
              <w:szCs w:val="24"/>
            </w:rPr>
            <w:t>6</w:t>
          </w:r>
          <w:r w:rsidRPr="008617AD">
            <w:rPr>
              <w:rStyle w:val="Nmerodepgina"/>
              <w:rFonts w:ascii="Arial" w:hAnsi="Arial" w:cs="Arial"/>
              <w:szCs w:val="24"/>
            </w:rPr>
            <w:fldChar w:fldCharType="end"/>
          </w:r>
          <w:r w:rsidRPr="008617AD">
            <w:rPr>
              <w:rFonts w:ascii="Arial" w:hAnsi="Arial" w:cs="Arial"/>
              <w:snapToGrid w:val="0"/>
              <w:szCs w:val="24"/>
            </w:rPr>
            <w:t xml:space="preserve"> de </w:t>
          </w:r>
          <w:r w:rsidRPr="008617AD">
            <w:rPr>
              <w:rStyle w:val="Nmerodepgina"/>
              <w:rFonts w:ascii="Arial" w:hAnsi="Arial" w:cs="Arial"/>
              <w:szCs w:val="24"/>
            </w:rPr>
            <w:fldChar w:fldCharType="begin"/>
          </w:r>
          <w:r w:rsidRPr="008617AD">
            <w:rPr>
              <w:rStyle w:val="Nmerodepgina"/>
              <w:rFonts w:ascii="Arial" w:hAnsi="Arial" w:cs="Arial"/>
              <w:szCs w:val="24"/>
            </w:rPr>
            <w:instrText xml:space="preserve"> NUMPAGES </w:instrText>
          </w:r>
          <w:r w:rsidRPr="008617AD">
            <w:rPr>
              <w:rStyle w:val="Nmerodepgina"/>
              <w:rFonts w:ascii="Arial" w:hAnsi="Arial" w:cs="Arial"/>
              <w:szCs w:val="24"/>
            </w:rPr>
            <w:fldChar w:fldCharType="separate"/>
          </w:r>
          <w:r w:rsidR="00806D72">
            <w:rPr>
              <w:rStyle w:val="Nmerodepgina"/>
              <w:rFonts w:ascii="Arial" w:hAnsi="Arial" w:cs="Arial"/>
              <w:noProof/>
              <w:szCs w:val="24"/>
            </w:rPr>
            <w:t>6</w:t>
          </w:r>
          <w:r w:rsidRPr="008617AD">
            <w:rPr>
              <w:rStyle w:val="Nmerodepgina"/>
              <w:rFonts w:ascii="Arial" w:hAnsi="Arial" w:cs="Arial"/>
              <w:szCs w:val="24"/>
            </w:rPr>
            <w:fldChar w:fldCharType="end"/>
          </w:r>
        </w:p>
        <w:p w:rsidR="008617AD" w:rsidRPr="008617AD" w:rsidRDefault="008617AD" w:rsidP="008617AD">
          <w:pPr>
            <w:spacing w:line="259" w:lineRule="auto"/>
            <w:ind w:left="96"/>
            <w:rPr>
              <w:rFonts w:ascii="Arial" w:hAnsi="Arial" w:cs="Arial"/>
              <w:sz w:val="22"/>
              <w:szCs w:val="24"/>
            </w:rPr>
          </w:pPr>
          <w:r w:rsidRPr="008617AD">
            <w:rPr>
              <w:rFonts w:ascii="Arial" w:hAnsi="Arial" w:cs="Arial"/>
              <w:sz w:val="22"/>
              <w:szCs w:val="24"/>
            </w:rPr>
            <w:t xml:space="preserve"> </w:t>
          </w:r>
        </w:p>
      </w:tc>
    </w:tr>
  </w:tbl>
  <w:p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E6"/>
    <w:rsid w:val="00002058"/>
    <w:rsid w:val="000312BA"/>
    <w:rsid w:val="0010799E"/>
    <w:rsid w:val="00192F9A"/>
    <w:rsid w:val="00193832"/>
    <w:rsid w:val="00193A6A"/>
    <w:rsid w:val="001F7571"/>
    <w:rsid w:val="00227AD8"/>
    <w:rsid w:val="002A303B"/>
    <w:rsid w:val="002D2DFE"/>
    <w:rsid w:val="00326801"/>
    <w:rsid w:val="00327F4D"/>
    <w:rsid w:val="003533C4"/>
    <w:rsid w:val="00355CC1"/>
    <w:rsid w:val="003D3475"/>
    <w:rsid w:val="00406C3E"/>
    <w:rsid w:val="004150DD"/>
    <w:rsid w:val="00427806"/>
    <w:rsid w:val="00464292"/>
    <w:rsid w:val="004B43A7"/>
    <w:rsid w:val="00570463"/>
    <w:rsid w:val="00604C91"/>
    <w:rsid w:val="006300DA"/>
    <w:rsid w:val="00641F21"/>
    <w:rsid w:val="00656B8E"/>
    <w:rsid w:val="006F325F"/>
    <w:rsid w:val="00752686"/>
    <w:rsid w:val="00776891"/>
    <w:rsid w:val="00806D72"/>
    <w:rsid w:val="008617AD"/>
    <w:rsid w:val="008C05D4"/>
    <w:rsid w:val="00947AA0"/>
    <w:rsid w:val="00961A8C"/>
    <w:rsid w:val="009E486D"/>
    <w:rsid w:val="009F6180"/>
    <w:rsid w:val="00A122E2"/>
    <w:rsid w:val="00A27AE3"/>
    <w:rsid w:val="00A71B8F"/>
    <w:rsid w:val="00AC5BA3"/>
    <w:rsid w:val="00AE15EA"/>
    <w:rsid w:val="00BC45D2"/>
    <w:rsid w:val="00C6289B"/>
    <w:rsid w:val="00C97380"/>
    <w:rsid w:val="00CF2CE6"/>
    <w:rsid w:val="00D67534"/>
    <w:rsid w:val="00E17C11"/>
    <w:rsid w:val="00E56FDA"/>
    <w:rsid w:val="00EF4621"/>
    <w:rsid w:val="00F1199B"/>
    <w:rsid w:val="00F347D2"/>
    <w:rsid w:val="00F42A2D"/>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DDCF"/>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8617AD"/>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A2A6-2E90-45D7-B9A2-6D076C21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1374</Words>
  <Characters>7562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Hewlett-Packard Company</cp:lastModifiedBy>
  <cp:revision>6</cp:revision>
  <cp:lastPrinted>2018-05-10T13:52:00Z</cp:lastPrinted>
  <dcterms:created xsi:type="dcterms:W3CDTF">2018-12-20T14:59:00Z</dcterms:created>
  <dcterms:modified xsi:type="dcterms:W3CDTF">2024-07-02T17:30:00Z</dcterms:modified>
</cp:coreProperties>
</file>