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BE2" w:rsidRDefault="003C5F45">
      <w:pPr>
        <w:widowControl w:val="0"/>
        <w:pBdr>
          <w:top w:val="nil"/>
          <w:left w:val="nil"/>
          <w:bottom w:val="nil"/>
          <w:right w:val="nil"/>
          <w:between w:val="nil"/>
        </w:pBdr>
        <w:spacing w:line="276" w:lineRule="auto"/>
        <w:ind w:left="0" w:hanging="2"/>
      </w:pPr>
      <w:r>
        <w:pict w14:anchorId="6464C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7728;visibility:hidden">
            <v:path o:extrusionok="t"/>
            <o:lock v:ext="edit" selection="t"/>
          </v:shape>
        </w:pict>
      </w:r>
    </w:p>
    <w:p w:rsidR="00F54BE2" w:rsidRDefault="00DA24ED">
      <w:pPr>
        <w:pBdr>
          <w:top w:val="nil"/>
          <w:left w:val="nil"/>
          <w:bottom w:val="nil"/>
          <w:right w:val="nil"/>
          <w:between w:val="nil"/>
        </w:pBdr>
        <w:spacing w:line="240" w:lineRule="auto"/>
        <w:ind w:left="0" w:hanging="2"/>
        <w:jc w:val="right"/>
        <w:rPr>
          <w:color w:val="000000"/>
          <w:sz w:val="24"/>
          <w:szCs w:val="24"/>
        </w:rPr>
      </w:pPr>
      <w:proofErr w:type="gramStart"/>
      <w:r>
        <w:rPr>
          <w:color w:val="000000"/>
          <w:sz w:val="24"/>
          <w:szCs w:val="24"/>
        </w:rPr>
        <w:t>Asunción,  de</w:t>
      </w:r>
      <w:proofErr w:type="gramEnd"/>
      <w:r>
        <w:rPr>
          <w:color w:val="000000"/>
          <w:sz w:val="24"/>
          <w:szCs w:val="24"/>
        </w:rPr>
        <w:t xml:space="preserve"> marzo del 2023.</w:t>
      </w:r>
    </w:p>
    <w:p w:rsidR="00F54BE2" w:rsidRDefault="00F54BE2">
      <w:pPr>
        <w:ind w:left="0" w:hanging="2"/>
        <w:jc w:val="right"/>
        <w:rPr>
          <w:sz w:val="24"/>
          <w:szCs w:val="24"/>
        </w:rPr>
      </w:pPr>
    </w:p>
    <w:p w:rsidR="00F54BE2" w:rsidRDefault="00DA24ED">
      <w:pPr>
        <w:ind w:left="0" w:hanging="2"/>
        <w:jc w:val="center"/>
        <w:rPr>
          <w:sz w:val="24"/>
          <w:szCs w:val="24"/>
        </w:rPr>
      </w:pPr>
      <w:r>
        <w:rPr>
          <w:b/>
          <w:sz w:val="24"/>
          <w:szCs w:val="24"/>
        </w:rPr>
        <w:t>VISTO:</w:t>
      </w:r>
    </w:p>
    <w:p w:rsidR="00F54BE2" w:rsidRDefault="00F54BE2">
      <w:pPr>
        <w:ind w:left="0" w:hanging="2"/>
        <w:jc w:val="both"/>
        <w:rPr>
          <w:sz w:val="16"/>
          <w:szCs w:val="16"/>
        </w:rPr>
      </w:pPr>
    </w:p>
    <w:p w:rsidR="00F54BE2" w:rsidRDefault="00DA24ED">
      <w:pPr>
        <w:ind w:left="0" w:hanging="2"/>
        <w:jc w:val="both"/>
        <w:rPr>
          <w:sz w:val="24"/>
          <w:szCs w:val="24"/>
        </w:rPr>
      </w:pPr>
      <w:r>
        <w:rPr>
          <w:sz w:val="24"/>
          <w:szCs w:val="24"/>
        </w:rPr>
        <w:t xml:space="preserve">El Memorando </w:t>
      </w:r>
      <w:proofErr w:type="spellStart"/>
      <w:r>
        <w:rPr>
          <w:sz w:val="24"/>
          <w:szCs w:val="24"/>
        </w:rPr>
        <w:t>N°</w:t>
      </w:r>
      <w:proofErr w:type="spellEnd"/>
      <w:r>
        <w:rPr>
          <w:sz w:val="24"/>
          <w:szCs w:val="24"/>
        </w:rPr>
        <w:t xml:space="preserve"> _/23 de fecha 13 de marzo del 2023, presentado por el Departamento de Evaluación y Mitigación de Riesgos de los Plaguicidas; el Dictamen </w:t>
      </w:r>
      <w:proofErr w:type="spellStart"/>
      <w:r>
        <w:rPr>
          <w:sz w:val="24"/>
          <w:szCs w:val="24"/>
        </w:rPr>
        <w:t>N°</w:t>
      </w:r>
      <w:proofErr w:type="spellEnd"/>
      <w:r>
        <w:rPr>
          <w:sz w:val="24"/>
          <w:szCs w:val="24"/>
        </w:rPr>
        <w:t xml:space="preserve"> /21, de la Dirección de Asesoría Jurídica; y,</w:t>
      </w:r>
    </w:p>
    <w:p w:rsidR="00F54BE2" w:rsidRDefault="00F54BE2">
      <w:pPr>
        <w:ind w:left="0" w:hanging="2"/>
        <w:jc w:val="both"/>
        <w:rPr>
          <w:sz w:val="24"/>
          <w:szCs w:val="24"/>
        </w:rPr>
      </w:pPr>
    </w:p>
    <w:p w:rsidR="00F54BE2" w:rsidRDefault="00DA24ED">
      <w:pPr>
        <w:pBdr>
          <w:top w:val="nil"/>
          <w:left w:val="nil"/>
          <w:bottom w:val="nil"/>
          <w:right w:val="nil"/>
          <w:between w:val="nil"/>
        </w:pBdr>
        <w:spacing w:line="240" w:lineRule="auto"/>
        <w:ind w:left="0" w:hanging="2"/>
        <w:jc w:val="center"/>
        <w:rPr>
          <w:color w:val="000000"/>
          <w:sz w:val="24"/>
          <w:szCs w:val="24"/>
        </w:rPr>
      </w:pPr>
      <w:r>
        <w:rPr>
          <w:b/>
          <w:color w:val="000000"/>
          <w:sz w:val="24"/>
          <w:szCs w:val="24"/>
        </w:rPr>
        <w:t>CONSIDERANDO:</w:t>
      </w:r>
    </w:p>
    <w:p w:rsidR="00F54BE2" w:rsidRDefault="00F54BE2">
      <w:pPr>
        <w:ind w:left="0" w:hanging="2"/>
        <w:jc w:val="both"/>
        <w:rPr>
          <w:sz w:val="16"/>
          <w:szCs w:val="16"/>
        </w:rPr>
      </w:pPr>
    </w:p>
    <w:p w:rsidR="00F54BE2" w:rsidRDefault="00DA24ED">
      <w:pPr>
        <w:pBdr>
          <w:top w:val="nil"/>
          <w:left w:val="nil"/>
          <w:bottom w:val="nil"/>
          <w:right w:val="nil"/>
          <w:between w:val="nil"/>
        </w:pBdr>
        <w:spacing w:line="240" w:lineRule="auto"/>
        <w:ind w:left="0" w:hanging="2"/>
        <w:jc w:val="both"/>
        <w:rPr>
          <w:color w:val="000000"/>
          <w:sz w:val="24"/>
          <w:szCs w:val="24"/>
        </w:rPr>
      </w:pPr>
      <w:r>
        <w:rPr>
          <w:b/>
          <w:color w:val="000000"/>
          <w:sz w:val="24"/>
          <w:szCs w:val="24"/>
        </w:rPr>
        <w:t>Que,</w:t>
      </w:r>
      <w:r>
        <w:rPr>
          <w:color w:val="000000"/>
          <w:sz w:val="24"/>
          <w:szCs w:val="24"/>
        </w:rPr>
        <w:t xml:space="preserve"> por Memorando </w:t>
      </w:r>
      <w:proofErr w:type="spellStart"/>
      <w:r>
        <w:rPr>
          <w:color w:val="000000"/>
          <w:sz w:val="24"/>
          <w:szCs w:val="24"/>
        </w:rPr>
        <w:t>N°</w:t>
      </w:r>
      <w:proofErr w:type="spellEnd"/>
      <w:r>
        <w:rPr>
          <w:color w:val="000000"/>
          <w:sz w:val="24"/>
          <w:szCs w:val="24"/>
        </w:rPr>
        <w:t xml:space="preserve"> /23 de fecha de </w:t>
      </w:r>
      <w:r>
        <w:rPr>
          <w:sz w:val="24"/>
          <w:szCs w:val="24"/>
        </w:rPr>
        <w:t>abril</w:t>
      </w:r>
      <w:r>
        <w:rPr>
          <w:color w:val="000000"/>
          <w:sz w:val="24"/>
          <w:szCs w:val="24"/>
        </w:rPr>
        <w:t xml:space="preserve"> del 2023, el Departamento de Evaluación y Mitigación de Riesgos de los Plaguicidas de la Dirección de Agroquímicos, eleva a consideración y análisis el proyecto para implementación del plan de manifiesto de entrega, transporte y recepción de envases y embalajes de insumos agrícolas.</w:t>
      </w:r>
    </w:p>
    <w:p w:rsidR="00F54BE2" w:rsidRDefault="00F54BE2">
      <w:pPr>
        <w:pBdr>
          <w:top w:val="nil"/>
          <w:left w:val="nil"/>
          <w:bottom w:val="nil"/>
          <w:right w:val="nil"/>
          <w:between w:val="nil"/>
        </w:pBdr>
        <w:spacing w:line="240" w:lineRule="auto"/>
        <w:ind w:left="0" w:hanging="2"/>
        <w:jc w:val="both"/>
        <w:rPr>
          <w:color w:val="000000"/>
          <w:sz w:val="24"/>
          <w:szCs w:val="24"/>
        </w:rPr>
      </w:pPr>
    </w:p>
    <w:p w:rsidR="00F54BE2" w:rsidRDefault="00DA24ED">
      <w:pPr>
        <w:tabs>
          <w:tab w:val="left" w:pos="567"/>
        </w:tabs>
        <w:ind w:left="0" w:hanging="2"/>
        <w:jc w:val="both"/>
        <w:rPr>
          <w:sz w:val="24"/>
          <w:szCs w:val="24"/>
        </w:rPr>
      </w:pPr>
      <w:r>
        <w:rPr>
          <w:b/>
          <w:sz w:val="24"/>
          <w:szCs w:val="24"/>
        </w:rPr>
        <w:t>Que,</w:t>
      </w:r>
      <w:r>
        <w:rPr>
          <w:sz w:val="24"/>
          <w:szCs w:val="24"/>
        </w:rPr>
        <w:t xml:space="preserve"> constan en el Expediente MEI </w:t>
      </w:r>
      <w:proofErr w:type="spellStart"/>
      <w:r>
        <w:rPr>
          <w:sz w:val="24"/>
          <w:szCs w:val="24"/>
        </w:rPr>
        <w:t>N°</w:t>
      </w:r>
      <w:proofErr w:type="spellEnd"/>
      <w:r>
        <w:rPr>
          <w:sz w:val="24"/>
          <w:szCs w:val="24"/>
        </w:rPr>
        <w:t xml:space="preserve"> /239/23 todas las documentaciones relacionadas a la socialización del proyecto elaborado por el Departamento de Evaluación y Mitigación de Riesgos de los Plaguicidas, para la aprobación del proyecto para la implementación del </w:t>
      </w:r>
      <w:r>
        <w:rPr>
          <w:i/>
          <w:sz w:val="24"/>
          <w:szCs w:val="24"/>
        </w:rPr>
        <w:t>“Plan de manejo de manifiesto de entrega, transporte y recepción de envases vacíos y embalajes de insumos agrícolas”</w:t>
      </w:r>
      <w:r>
        <w:rPr>
          <w:sz w:val="24"/>
          <w:szCs w:val="24"/>
        </w:rPr>
        <w:t>, por parte de las dependencias e instancias del SENAVE, sin recibirse observaciones ni objeciones alguna.</w:t>
      </w:r>
    </w:p>
    <w:p w:rsidR="00F54BE2" w:rsidRDefault="00DA24ED">
      <w:pPr>
        <w:tabs>
          <w:tab w:val="left" w:pos="567"/>
        </w:tabs>
        <w:ind w:left="0" w:hanging="2"/>
        <w:jc w:val="both"/>
        <w:rPr>
          <w:sz w:val="24"/>
          <w:szCs w:val="24"/>
        </w:rPr>
      </w:pPr>
      <w:r>
        <w:rPr>
          <w:b/>
          <w:sz w:val="24"/>
          <w:szCs w:val="24"/>
        </w:rPr>
        <w:t>Que</w:t>
      </w:r>
      <w:r>
        <w:rPr>
          <w:sz w:val="24"/>
          <w:szCs w:val="24"/>
        </w:rPr>
        <w:t xml:space="preserve">, Considerando que las Resoluciones N°093/2022 y 452/2022 son las vías reglamentarias por la cual se implementó el “POR LA CUAL SE DISPONE LA IMPLEMENTACIÓN DEL </w:t>
      </w:r>
      <w:r w:rsidRPr="009766A3">
        <w:rPr>
          <w:i/>
          <w:sz w:val="24"/>
          <w:szCs w:val="24"/>
        </w:rPr>
        <w:t>“PLAN PILOTO PARA MANIFIESTO DE ENTREGA, TRANSPORTE Y RECEPCIÓN DE ENVASES VACÍOS Y EMBALAJES DE INSUMOS AGRÍCOLAS”</w:t>
      </w:r>
      <w:r w:rsidRPr="009766A3">
        <w:rPr>
          <w:sz w:val="24"/>
          <w:szCs w:val="24"/>
        </w:rPr>
        <w:t xml:space="preserve">, </w:t>
      </w:r>
      <w:r>
        <w:rPr>
          <w:sz w:val="24"/>
          <w:szCs w:val="24"/>
        </w:rPr>
        <w:t xml:space="preserve">Y SE APRUEBA EL PROCEDIMIENTO PARA LA PROVISIÓN DE ETIQUETAS CODIFICADAS, EN EL MARCO DE SU </w:t>
      </w:r>
      <w:r w:rsidR="009766A3">
        <w:rPr>
          <w:sz w:val="24"/>
          <w:szCs w:val="24"/>
        </w:rPr>
        <w:t>APLICACIÓN”. Y</w:t>
      </w:r>
      <w:r>
        <w:rPr>
          <w:sz w:val="24"/>
          <w:szCs w:val="24"/>
        </w:rPr>
        <w:t xml:space="preserve"> que las mismas han creado un mecanismo para buscar obtener un control completo de la gestión de los envases vacíos de insumos agrícolas.</w:t>
      </w:r>
    </w:p>
    <w:p w:rsidR="00F54BE2" w:rsidRDefault="00F54BE2">
      <w:pPr>
        <w:tabs>
          <w:tab w:val="left" w:pos="567"/>
        </w:tabs>
        <w:ind w:left="0" w:hanging="2"/>
        <w:jc w:val="both"/>
        <w:rPr>
          <w:sz w:val="24"/>
          <w:szCs w:val="24"/>
        </w:rPr>
      </w:pPr>
    </w:p>
    <w:p w:rsidR="00F54BE2" w:rsidRDefault="00DA24ED">
      <w:pPr>
        <w:tabs>
          <w:tab w:val="left" w:pos="567"/>
        </w:tabs>
        <w:ind w:left="0" w:hanging="2"/>
        <w:jc w:val="both"/>
        <w:rPr>
          <w:sz w:val="24"/>
          <w:szCs w:val="24"/>
        </w:rPr>
      </w:pPr>
      <w:r>
        <w:rPr>
          <w:b/>
          <w:sz w:val="24"/>
          <w:szCs w:val="24"/>
        </w:rPr>
        <w:t>Que</w:t>
      </w:r>
      <w:r>
        <w:rPr>
          <w:sz w:val="24"/>
          <w:szCs w:val="24"/>
        </w:rPr>
        <w:t xml:space="preserve">, si bien el Triple Lavado de envases vacíos de insumos agrícolas puede clasificarlo al envases como residuo no peligroso según  Código internacional de conducta sobre la distribución y utilización de plaguicidas- Directrices sobre opciones de manejo de envases vacíos de plaguicidas de FAO 2008, pero atendiendo que durante el transporte puede suscitarse el caso que la carga también pueda contener envases vacíos de insumos agrícolas que no puedan someterse al Triple Lavado o Lavado a Presión, debido a que  necesidad los transportes que operan con este tipo de productos deben cumplir con lo establecido por la Resolución </w:t>
      </w:r>
      <w:proofErr w:type="spellStart"/>
      <w:r>
        <w:rPr>
          <w:sz w:val="24"/>
          <w:szCs w:val="24"/>
        </w:rPr>
        <w:t>N°</w:t>
      </w:r>
      <w:proofErr w:type="spellEnd"/>
      <w:r>
        <w:rPr>
          <w:sz w:val="24"/>
          <w:szCs w:val="24"/>
        </w:rPr>
        <w:t xml:space="preserve"> 857/2019 “QUE APRUEBA EL REGLAMENTO PARA EL TRANSPORTE TERRESTRE DE PRODUCTOS FITOSANITARIOS DE USO AGRÍCOLA EN EL TERRITORIO NACIONAL Y SE ABROGA LA </w:t>
      </w:r>
      <w:r>
        <w:rPr>
          <w:sz w:val="24"/>
          <w:szCs w:val="24"/>
        </w:rPr>
        <w:lastRenderedPageBreak/>
        <w:t xml:space="preserve">RESOLUCIÓN SENAVE </w:t>
      </w:r>
      <w:proofErr w:type="spellStart"/>
      <w:r>
        <w:rPr>
          <w:sz w:val="24"/>
          <w:szCs w:val="24"/>
        </w:rPr>
        <w:t>N°</w:t>
      </w:r>
      <w:proofErr w:type="spellEnd"/>
      <w:r>
        <w:rPr>
          <w:sz w:val="24"/>
          <w:szCs w:val="24"/>
        </w:rPr>
        <w:t xml:space="preserve"> 213/19 DE FECHA 27 DE MARZO DE 2019”, de modo a salvaguardar la salud humana y el ambiente. </w:t>
      </w:r>
    </w:p>
    <w:p w:rsidR="00F54BE2" w:rsidRDefault="00F54BE2">
      <w:pPr>
        <w:tabs>
          <w:tab w:val="left" w:pos="567"/>
        </w:tabs>
        <w:ind w:left="0" w:hanging="2"/>
        <w:jc w:val="both"/>
        <w:rPr>
          <w:sz w:val="24"/>
          <w:szCs w:val="24"/>
        </w:rPr>
      </w:pPr>
    </w:p>
    <w:p w:rsidR="00F54BE2" w:rsidRDefault="00DA24ED">
      <w:pPr>
        <w:tabs>
          <w:tab w:val="left" w:pos="567"/>
        </w:tabs>
        <w:ind w:left="0" w:hanging="2"/>
        <w:jc w:val="both"/>
        <w:rPr>
          <w:sz w:val="24"/>
          <w:szCs w:val="24"/>
        </w:rPr>
      </w:pPr>
      <w:r>
        <w:rPr>
          <w:b/>
          <w:sz w:val="24"/>
          <w:szCs w:val="24"/>
        </w:rPr>
        <w:t>Que</w:t>
      </w:r>
      <w:r>
        <w:rPr>
          <w:sz w:val="24"/>
          <w:szCs w:val="24"/>
        </w:rPr>
        <w:t xml:space="preserve">, en virtud a lo establecido por la Contraloría General de la República, en su </w:t>
      </w:r>
      <w:bookmarkStart w:id="0" w:name="_Hlk132354647"/>
      <w:bookmarkStart w:id="1" w:name="_GoBack"/>
      <w:r>
        <w:rPr>
          <w:sz w:val="24"/>
          <w:szCs w:val="24"/>
        </w:rPr>
        <w:t xml:space="preserve">Resolución CGR N°487/2021, Observación Nº2 El SENAVE no reglamentó el procedimiento para la destrucción de empaques y embalajes que han entrado en contacto con los productos fitosanitarios, incumpliendo el artículo 50 de la Ley </w:t>
      </w:r>
      <w:proofErr w:type="spellStart"/>
      <w:r>
        <w:rPr>
          <w:sz w:val="24"/>
          <w:szCs w:val="24"/>
        </w:rPr>
        <w:t>N°</w:t>
      </w:r>
      <w:proofErr w:type="spellEnd"/>
      <w:r>
        <w:rPr>
          <w:sz w:val="24"/>
          <w:szCs w:val="24"/>
        </w:rPr>
        <w:t xml:space="preserve"> 3742/09 “De Control de Productos Fitosanitarios de Uso Agrícola.</w:t>
      </w:r>
      <w:bookmarkEnd w:id="0"/>
      <w:bookmarkEnd w:id="1"/>
      <w:r>
        <w:rPr>
          <w:sz w:val="24"/>
          <w:szCs w:val="24"/>
        </w:rPr>
        <w:t>”</w:t>
      </w:r>
    </w:p>
    <w:p w:rsidR="00F54BE2" w:rsidRDefault="00F54BE2">
      <w:pPr>
        <w:tabs>
          <w:tab w:val="left" w:pos="567"/>
        </w:tabs>
        <w:ind w:left="0" w:hanging="2"/>
        <w:jc w:val="both"/>
        <w:rPr>
          <w:sz w:val="24"/>
          <w:szCs w:val="24"/>
        </w:rPr>
      </w:pPr>
    </w:p>
    <w:p w:rsidR="00F54BE2" w:rsidRDefault="00DA24ED">
      <w:pPr>
        <w:tabs>
          <w:tab w:val="left" w:pos="567"/>
        </w:tabs>
        <w:ind w:left="0" w:hanging="2"/>
        <w:jc w:val="both"/>
        <w:rPr>
          <w:sz w:val="24"/>
          <w:szCs w:val="24"/>
        </w:rPr>
      </w:pPr>
      <w:r>
        <w:rPr>
          <w:b/>
          <w:sz w:val="24"/>
          <w:szCs w:val="24"/>
        </w:rPr>
        <w:t>Que</w:t>
      </w:r>
      <w:r>
        <w:rPr>
          <w:sz w:val="24"/>
          <w:szCs w:val="24"/>
        </w:rPr>
        <w:t>, en virtud a los dispuesto por la Resolución N°028/</w:t>
      </w:r>
      <w:proofErr w:type="gramStart"/>
      <w:r>
        <w:rPr>
          <w:sz w:val="24"/>
          <w:szCs w:val="24"/>
        </w:rPr>
        <w:t>22  POR</w:t>
      </w:r>
      <w:proofErr w:type="gramEnd"/>
      <w:r>
        <w:rPr>
          <w:sz w:val="24"/>
          <w:szCs w:val="24"/>
        </w:rPr>
        <w:t xml:space="preserve"> LA CUAL SE REGLAMENTA EL CAPÍTULO XI DE LA LEY 3742/09 DE CONTROL DE PRODUCTOS FITOSANITARIOS DE USO AGRÍCOLA  EN MENCIÓN A LOS CENTROS DE ACOPIO Y MINI CENTROS DE ENVASES VACÍOS Y EMBALAJES DE INSUMOS AGRÍCOLAS EN EL SERVICIO NACIONAL DE CALIDAD Y SANIDAD VEGETAL Y DE SEMILLAS”</w:t>
      </w:r>
    </w:p>
    <w:p w:rsidR="00F54BE2" w:rsidRDefault="00F54BE2">
      <w:pPr>
        <w:tabs>
          <w:tab w:val="left" w:pos="567"/>
        </w:tabs>
        <w:ind w:left="0" w:hanging="2"/>
        <w:jc w:val="both"/>
        <w:rPr>
          <w:sz w:val="24"/>
          <w:szCs w:val="24"/>
        </w:rPr>
      </w:pPr>
    </w:p>
    <w:p w:rsidR="00F54BE2" w:rsidRDefault="00DA24ED">
      <w:pPr>
        <w:tabs>
          <w:tab w:val="left" w:pos="567"/>
        </w:tabs>
        <w:ind w:left="0" w:hanging="2"/>
        <w:jc w:val="both"/>
        <w:rPr>
          <w:sz w:val="24"/>
          <w:szCs w:val="24"/>
        </w:rPr>
      </w:pPr>
      <w:r>
        <w:rPr>
          <w:b/>
          <w:sz w:val="24"/>
          <w:szCs w:val="24"/>
        </w:rPr>
        <w:t>Que,</w:t>
      </w:r>
      <w:r>
        <w:rPr>
          <w:sz w:val="24"/>
          <w:szCs w:val="24"/>
        </w:rPr>
        <w:t xml:space="preserve"> la Ley </w:t>
      </w:r>
      <w:proofErr w:type="spellStart"/>
      <w:r>
        <w:rPr>
          <w:sz w:val="24"/>
          <w:szCs w:val="24"/>
        </w:rPr>
        <w:t>N°</w:t>
      </w:r>
      <w:proofErr w:type="spellEnd"/>
      <w:r>
        <w:rPr>
          <w:sz w:val="24"/>
          <w:szCs w:val="24"/>
        </w:rPr>
        <w:t xml:space="preserve"> 3742/09 </w:t>
      </w:r>
      <w:r>
        <w:rPr>
          <w:i/>
          <w:sz w:val="22"/>
          <w:szCs w:val="22"/>
        </w:rPr>
        <w:t>“DE CONTROL DE PRODUCTOS FITOSANITARIOS DE USO AGRÍCOLA”</w:t>
      </w:r>
      <w:r>
        <w:rPr>
          <w:sz w:val="24"/>
          <w:szCs w:val="24"/>
        </w:rPr>
        <w:t>, dispone:</w:t>
      </w:r>
    </w:p>
    <w:p w:rsidR="00F54BE2" w:rsidRDefault="00F54BE2">
      <w:pPr>
        <w:tabs>
          <w:tab w:val="left" w:pos="567"/>
        </w:tabs>
        <w:ind w:left="0" w:hanging="2"/>
        <w:jc w:val="both"/>
        <w:rPr>
          <w:sz w:val="16"/>
          <w:szCs w:val="16"/>
        </w:rPr>
      </w:pPr>
    </w:p>
    <w:p w:rsidR="00F54BE2" w:rsidRDefault="00DA24ED">
      <w:pPr>
        <w:tabs>
          <w:tab w:val="left" w:pos="567"/>
        </w:tabs>
        <w:ind w:left="0" w:hanging="2"/>
        <w:jc w:val="both"/>
        <w:rPr>
          <w:sz w:val="24"/>
          <w:szCs w:val="24"/>
        </w:rPr>
      </w:pPr>
      <w:r>
        <w:rPr>
          <w:b/>
          <w:sz w:val="24"/>
          <w:szCs w:val="24"/>
        </w:rPr>
        <w:t>Artículo 1</w:t>
      </w:r>
      <w:proofErr w:type="gramStart"/>
      <w:r>
        <w:rPr>
          <w:b/>
          <w:sz w:val="24"/>
          <w:szCs w:val="24"/>
        </w:rPr>
        <w:t>°.-</w:t>
      </w:r>
      <w:proofErr w:type="gramEnd"/>
      <w:r>
        <w:rPr>
          <w:sz w:val="24"/>
          <w:szCs w:val="24"/>
        </w:rPr>
        <w:t xml:space="preserve"> </w:t>
      </w:r>
      <w:r>
        <w:rPr>
          <w:i/>
          <w:sz w:val="24"/>
          <w:szCs w:val="24"/>
        </w:rPr>
        <w:t>“La presente Ley establece el régimen legal de registro y control de todo producto fitosanitario de uso agrícola a partir del ingreso de los mismos al territorio nacional, así como: la síntesis, formulación, fraccionamiento, transporte, almacenaje, etiquetado, comercialización, publicidad, aplicación y eliminación de residuos y disposición final de envases vacíos y de plaguicidas vencidos, con el fin de proteger la salud humana, animal, vegetal, y el ambiente”</w:t>
      </w:r>
      <w:r>
        <w:rPr>
          <w:sz w:val="24"/>
          <w:szCs w:val="24"/>
        </w:rPr>
        <w:t>.</w:t>
      </w:r>
    </w:p>
    <w:p w:rsidR="00F54BE2" w:rsidRDefault="00F54BE2">
      <w:pPr>
        <w:tabs>
          <w:tab w:val="left" w:pos="567"/>
        </w:tabs>
        <w:ind w:left="0" w:hanging="2"/>
        <w:jc w:val="both"/>
        <w:rPr>
          <w:sz w:val="16"/>
          <w:szCs w:val="16"/>
        </w:rPr>
      </w:pPr>
    </w:p>
    <w:p w:rsidR="00F54BE2" w:rsidRDefault="00DA24ED">
      <w:pPr>
        <w:tabs>
          <w:tab w:val="left" w:pos="567"/>
        </w:tabs>
        <w:ind w:left="0" w:hanging="2"/>
        <w:jc w:val="both"/>
        <w:rPr>
          <w:sz w:val="24"/>
          <w:szCs w:val="24"/>
        </w:rPr>
      </w:pPr>
      <w:r>
        <w:rPr>
          <w:b/>
          <w:sz w:val="24"/>
          <w:szCs w:val="24"/>
        </w:rPr>
        <w:t>Artículo 2</w:t>
      </w:r>
      <w:proofErr w:type="gramStart"/>
      <w:r>
        <w:rPr>
          <w:b/>
          <w:sz w:val="24"/>
          <w:szCs w:val="24"/>
        </w:rPr>
        <w:t>°.-</w:t>
      </w:r>
      <w:proofErr w:type="gramEnd"/>
      <w:r>
        <w:rPr>
          <w:sz w:val="24"/>
          <w:szCs w:val="24"/>
        </w:rPr>
        <w:t xml:space="preserve"> </w:t>
      </w:r>
      <w:r>
        <w:rPr>
          <w:i/>
          <w:sz w:val="24"/>
          <w:szCs w:val="24"/>
        </w:rPr>
        <w:t>“Serán regulados por la presente Ley y las normas que la reglamenten: i) La disposición final de plaguicidas prohibidos, vencidos, con envases averiados y la de envases vacíos de plaguicidas”</w:t>
      </w:r>
      <w:r>
        <w:rPr>
          <w:sz w:val="24"/>
          <w:szCs w:val="24"/>
        </w:rPr>
        <w:t>.</w:t>
      </w:r>
    </w:p>
    <w:p w:rsidR="00F54BE2" w:rsidRDefault="00F54BE2">
      <w:pPr>
        <w:tabs>
          <w:tab w:val="left" w:pos="567"/>
        </w:tabs>
        <w:ind w:left="0" w:hanging="2"/>
        <w:jc w:val="both"/>
        <w:rPr>
          <w:sz w:val="24"/>
          <w:szCs w:val="24"/>
        </w:rPr>
      </w:pPr>
    </w:p>
    <w:p w:rsidR="00F54BE2" w:rsidRDefault="00DA24ED">
      <w:pPr>
        <w:tabs>
          <w:tab w:val="left" w:pos="567"/>
        </w:tabs>
        <w:ind w:left="0" w:hanging="2"/>
        <w:jc w:val="both"/>
        <w:rPr>
          <w:sz w:val="24"/>
          <w:szCs w:val="24"/>
        </w:rPr>
      </w:pPr>
      <w:r>
        <w:rPr>
          <w:b/>
          <w:sz w:val="24"/>
          <w:szCs w:val="24"/>
        </w:rPr>
        <w:t>Artículo 14</w:t>
      </w:r>
      <w:proofErr w:type="gramStart"/>
      <w:r>
        <w:rPr>
          <w:b/>
          <w:sz w:val="24"/>
          <w:szCs w:val="24"/>
        </w:rPr>
        <w:t>°.-</w:t>
      </w:r>
      <w:proofErr w:type="gramEnd"/>
      <w:r>
        <w:rPr>
          <w:b/>
          <w:sz w:val="24"/>
          <w:szCs w:val="24"/>
        </w:rPr>
        <w:t xml:space="preserve"> </w:t>
      </w:r>
      <w:r>
        <w:rPr>
          <w:sz w:val="24"/>
          <w:szCs w:val="24"/>
        </w:rPr>
        <w:t xml:space="preserve">Los requisitos </w:t>
      </w:r>
      <w:proofErr w:type="spellStart"/>
      <w:r>
        <w:rPr>
          <w:sz w:val="24"/>
          <w:szCs w:val="24"/>
        </w:rPr>
        <w:t>especíﬁcos</w:t>
      </w:r>
      <w:proofErr w:type="spellEnd"/>
      <w:r>
        <w:rPr>
          <w:sz w:val="24"/>
          <w:szCs w:val="24"/>
        </w:rPr>
        <w:t xml:space="preserve"> para el Registro de las entidades comerciales correspondientes a la Categoría A son: inc. d) las entidades sintetizadoras, formuladoras, fraccionadoras, importadoras y comercializadoras deberán presentar un plan para el manejo, reciclado o eliminación de envases vacíos que deberán estar de acuerdo con las normas legales vigentes.</w:t>
      </w:r>
    </w:p>
    <w:p w:rsidR="00F54BE2" w:rsidRDefault="00F54BE2">
      <w:pPr>
        <w:tabs>
          <w:tab w:val="left" w:pos="567"/>
        </w:tabs>
        <w:ind w:left="0" w:hanging="2"/>
        <w:jc w:val="both"/>
        <w:rPr>
          <w:sz w:val="24"/>
          <w:szCs w:val="24"/>
        </w:rPr>
      </w:pPr>
    </w:p>
    <w:p w:rsidR="00F54BE2" w:rsidRDefault="00DA24ED">
      <w:pPr>
        <w:tabs>
          <w:tab w:val="left" w:pos="567"/>
        </w:tabs>
        <w:ind w:left="0" w:hanging="2"/>
        <w:jc w:val="both"/>
        <w:rPr>
          <w:sz w:val="24"/>
          <w:szCs w:val="24"/>
        </w:rPr>
      </w:pPr>
      <w:r>
        <w:rPr>
          <w:b/>
          <w:sz w:val="24"/>
          <w:szCs w:val="24"/>
        </w:rPr>
        <w:t>Que,</w:t>
      </w:r>
      <w:r>
        <w:rPr>
          <w:sz w:val="24"/>
          <w:szCs w:val="24"/>
        </w:rPr>
        <w:t xml:space="preserve"> la referida Ley, en su Capítulo XI </w:t>
      </w:r>
      <w:r>
        <w:rPr>
          <w:i/>
          <w:sz w:val="24"/>
          <w:szCs w:val="24"/>
        </w:rPr>
        <w:t>“De la disposición final de productos fitosanitarios vencidos y de envases vacíos”</w:t>
      </w:r>
      <w:r>
        <w:rPr>
          <w:sz w:val="24"/>
          <w:szCs w:val="24"/>
        </w:rPr>
        <w:t>, establece:</w:t>
      </w:r>
    </w:p>
    <w:p w:rsidR="00F54BE2" w:rsidRDefault="00F54BE2">
      <w:pPr>
        <w:tabs>
          <w:tab w:val="left" w:pos="567"/>
        </w:tabs>
        <w:ind w:left="0" w:hanging="2"/>
        <w:jc w:val="both"/>
        <w:rPr>
          <w:sz w:val="16"/>
          <w:szCs w:val="16"/>
        </w:rPr>
      </w:pPr>
    </w:p>
    <w:p w:rsidR="00F54BE2" w:rsidRDefault="00DA24ED">
      <w:pPr>
        <w:tabs>
          <w:tab w:val="left" w:pos="567"/>
        </w:tabs>
        <w:ind w:left="0" w:hanging="2"/>
        <w:jc w:val="both"/>
        <w:rPr>
          <w:sz w:val="24"/>
          <w:szCs w:val="24"/>
        </w:rPr>
      </w:pPr>
      <w:r>
        <w:rPr>
          <w:b/>
          <w:sz w:val="24"/>
          <w:szCs w:val="24"/>
        </w:rPr>
        <w:lastRenderedPageBreak/>
        <w:t>Artículo 43.-</w:t>
      </w:r>
      <w:r>
        <w:rPr>
          <w:sz w:val="24"/>
          <w:szCs w:val="24"/>
        </w:rPr>
        <w:t xml:space="preserve"> </w:t>
      </w:r>
      <w:r>
        <w:rPr>
          <w:i/>
          <w:sz w:val="24"/>
          <w:szCs w:val="24"/>
        </w:rPr>
        <w:t>“Los envases y embalajes de productos fitosanitarios nunca deben ser utilizados para contener agua o alimentos destinados para el consumo humano o de animales”</w:t>
      </w:r>
      <w:r>
        <w:rPr>
          <w:sz w:val="24"/>
          <w:szCs w:val="24"/>
        </w:rPr>
        <w:t>.</w:t>
      </w:r>
    </w:p>
    <w:p w:rsidR="00F54BE2" w:rsidRDefault="00F54BE2">
      <w:pPr>
        <w:tabs>
          <w:tab w:val="left" w:pos="567"/>
        </w:tabs>
        <w:ind w:left="0" w:hanging="2"/>
        <w:jc w:val="both"/>
        <w:rPr>
          <w:sz w:val="16"/>
          <w:szCs w:val="16"/>
        </w:rPr>
      </w:pPr>
    </w:p>
    <w:p w:rsidR="00F54BE2" w:rsidRDefault="00DA24ED">
      <w:pPr>
        <w:tabs>
          <w:tab w:val="left" w:pos="567"/>
        </w:tabs>
        <w:ind w:left="0" w:hanging="2"/>
        <w:jc w:val="both"/>
        <w:rPr>
          <w:sz w:val="24"/>
          <w:szCs w:val="24"/>
        </w:rPr>
      </w:pPr>
      <w:r>
        <w:rPr>
          <w:b/>
          <w:sz w:val="24"/>
          <w:szCs w:val="24"/>
        </w:rPr>
        <w:t>Artículo 44.-</w:t>
      </w:r>
      <w:r>
        <w:rPr>
          <w:sz w:val="24"/>
          <w:szCs w:val="24"/>
        </w:rPr>
        <w:t xml:space="preserve"> </w:t>
      </w:r>
      <w:r>
        <w:rPr>
          <w:i/>
          <w:sz w:val="24"/>
          <w:szCs w:val="24"/>
        </w:rPr>
        <w:t>“El SENAVE reglamentará la recolección de los productos fitosanitarios vencidos, así como la disposición final de envases vacíos, conforme con los métodos recomendados por la FAO velando siempre que en dicha disposición final no se contaminen fuentes de agua o alimentos destinados al consumo humano o animal”</w:t>
      </w:r>
      <w:r>
        <w:rPr>
          <w:sz w:val="24"/>
          <w:szCs w:val="24"/>
        </w:rPr>
        <w:t>.</w:t>
      </w:r>
    </w:p>
    <w:p w:rsidR="00F54BE2" w:rsidRDefault="00F54BE2">
      <w:pPr>
        <w:tabs>
          <w:tab w:val="left" w:pos="567"/>
        </w:tabs>
        <w:ind w:left="0" w:hanging="2"/>
        <w:jc w:val="both"/>
        <w:rPr>
          <w:sz w:val="16"/>
          <w:szCs w:val="16"/>
        </w:rPr>
      </w:pPr>
    </w:p>
    <w:p w:rsidR="00F54BE2" w:rsidRDefault="00DA24ED">
      <w:pPr>
        <w:tabs>
          <w:tab w:val="left" w:pos="567"/>
        </w:tabs>
        <w:ind w:left="0" w:hanging="2"/>
        <w:jc w:val="both"/>
        <w:rPr>
          <w:sz w:val="24"/>
          <w:szCs w:val="24"/>
        </w:rPr>
      </w:pPr>
      <w:r>
        <w:rPr>
          <w:b/>
          <w:sz w:val="24"/>
          <w:szCs w:val="24"/>
        </w:rPr>
        <w:t>Artículo 45.-</w:t>
      </w:r>
      <w:r>
        <w:rPr>
          <w:sz w:val="24"/>
          <w:szCs w:val="24"/>
        </w:rPr>
        <w:t xml:space="preserve"> </w:t>
      </w:r>
      <w:r>
        <w:rPr>
          <w:i/>
          <w:sz w:val="24"/>
          <w:szCs w:val="24"/>
        </w:rPr>
        <w:t xml:space="preserve">“Las entidades comercializadoras y distribuidoras deberán disponer de instalaciones adecuadas para la recepción y almacenamiento temporal de envases vacíos, hasta el momento de entrega a las empresas recicladoras, previa verificación de que los envases de productos de formulación líquida hayan pasado por el proceso de triple lavado o tecnología similar y perforada. Aquellas empresas comercializadoras y distribuidoras que no dispongan de centros o </w:t>
      </w:r>
      <w:proofErr w:type="spellStart"/>
      <w:r>
        <w:rPr>
          <w:i/>
          <w:sz w:val="24"/>
          <w:szCs w:val="24"/>
        </w:rPr>
        <w:t>minicentros</w:t>
      </w:r>
      <w:proofErr w:type="spellEnd"/>
      <w:r>
        <w:rPr>
          <w:i/>
          <w:sz w:val="24"/>
          <w:szCs w:val="24"/>
        </w:rPr>
        <w:t xml:space="preserve"> de acopio, deberán estar vinculadas a un sistema de recolección de envases vacíos”</w:t>
      </w:r>
      <w:r>
        <w:rPr>
          <w:sz w:val="24"/>
          <w:szCs w:val="24"/>
        </w:rPr>
        <w:t>.</w:t>
      </w:r>
    </w:p>
    <w:p w:rsidR="00F54BE2" w:rsidRDefault="00F54BE2">
      <w:pPr>
        <w:tabs>
          <w:tab w:val="left" w:pos="567"/>
        </w:tabs>
        <w:ind w:left="0" w:hanging="2"/>
        <w:jc w:val="both"/>
        <w:rPr>
          <w:sz w:val="16"/>
          <w:szCs w:val="16"/>
        </w:rPr>
      </w:pPr>
    </w:p>
    <w:p w:rsidR="00F54BE2" w:rsidRDefault="00DA24ED">
      <w:pPr>
        <w:tabs>
          <w:tab w:val="left" w:pos="567"/>
        </w:tabs>
        <w:ind w:left="0" w:hanging="2"/>
        <w:jc w:val="both"/>
        <w:rPr>
          <w:sz w:val="24"/>
          <w:szCs w:val="24"/>
        </w:rPr>
      </w:pPr>
      <w:r>
        <w:rPr>
          <w:b/>
          <w:sz w:val="24"/>
          <w:szCs w:val="24"/>
        </w:rPr>
        <w:t>Artículo 46.-</w:t>
      </w:r>
      <w:r>
        <w:rPr>
          <w:sz w:val="24"/>
          <w:szCs w:val="24"/>
        </w:rPr>
        <w:t xml:space="preserve"> </w:t>
      </w:r>
      <w:r>
        <w:rPr>
          <w:i/>
          <w:sz w:val="24"/>
          <w:szCs w:val="24"/>
        </w:rPr>
        <w:t>“Las entidades comercializadoras y distribuidoras deberán indicar en sus facturas de ventas los lugares de devolución de los envases de productos fitosanitarios ya utilizados por el productor o usuario”</w:t>
      </w:r>
      <w:r>
        <w:rPr>
          <w:sz w:val="24"/>
          <w:szCs w:val="24"/>
        </w:rPr>
        <w:t>.</w:t>
      </w:r>
    </w:p>
    <w:p w:rsidR="00F54BE2" w:rsidRDefault="00F54BE2">
      <w:pPr>
        <w:tabs>
          <w:tab w:val="left" w:pos="567"/>
        </w:tabs>
        <w:ind w:left="0" w:hanging="2"/>
        <w:jc w:val="both"/>
        <w:rPr>
          <w:sz w:val="16"/>
          <w:szCs w:val="16"/>
        </w:rPr>
      </w:pPr>
    </w:p>
    <w:p w:rsidR="00F54BE2" w:rsidRDefault="00DA24ED">
      <w:pPr>
        <w:tabs>
          <w:tab w:val="left" w:pos="567"/>
        </w:tabs>
        <w:ind w:left="0" w:hanging="2"/>
        <w:jc w:val="both"/>
        <w:rPr>
          <w:sz w:val="24"/>
          <w:szCs w:val="24"/>
        </w:rPr>
      </w:pPr>
      <w:r>
        <w:rPr>
          <w:b/>
          <w:sz w:val="24"/>
          <w:szCs w:val="24"/>
        </w:rPr>
        <w:t>Artículo 47.-</w:t>
      </w:r>
      <w:r>
        <w:rPr>
          <w:sz w:val="24"/>
          <w:szCs w:val="24"/>
        </w:rPr>
        <w:t xml:space="preserve"> </w:t>
      </w:r>
      <w:r>
        <w:rPr>
          <w:i/>
          <w:sz w:val="24"/>
          <w:szCs w:val="24"/>
        </w:rPr>
        <w:t>“Las entidades que registran plaguicidas deberán incluir en la etiqueta de los productos en el sector de precauciones y advertencias, el símbolo o emblema del triple lavado para aquellos productos de formulación líquida y que por las características de sus envases puedan pasar por este proceso”</w:t>
      </w:r>
      <w:r>
        <w:rPr>
          <w:sz w:val="24"/>
          <w:szCs w:val="24"/>
        </w:rPr>
        <w:t xml:space="preserve">. </w:t>
      </w:r>
    </w:p>
    <w:p w:rsidR="00F54BE2" w:rsidRDefault="00F54BE2">
      <w:pPr>
        <w:tabs>
          <w:tab w:val="left" w:pos="567"/>
        </w:tabs>
        <w:ind w:left="0" w:hanging="2"/>
        <w:jc w:val="both"/>
        <w:rPr>
          <w:sz w:val="16"/>
          <w:szCs w:val="16"/>
        </w:rPr>
      </w:pPr>
    </w:p>
    <w:p w:rsidR="00F54BE2" w:rsidRDefault="00DA24ED">
      <w:pPr>
        <w:tabs>
          <w:tab w:val="left" w:pos="567"/>
        </w:tabs>
        <w:ind w:left="0" w:hanging="2"/>
        <w:jc w:val="both"/>
        <w:rPr>
          <w:sz w:val="24"/>
          <w:szCs w:val="24"/>
        </w:rPr>
      </w:pPr>
      <w:r>
        <w:rPr>
          <w:b/>
          <w:sz w:val="24"/>
          <w:szCs w:val="24"/>
        </w:rPr>
        <w:t>Artículo 48.-</w:t>
      </w:r>
      <w:r>
        <w:rPr>
          <w:sz w:val="24"/>
          <w:szCs w:val="24"/>
        </w:rPr>
        <w:t xml:space="preserve"> </w:t>
      </w:r>
      <w:r>
        <w:rPr>
          <w:i/>
          <w:sz w:val="24"/>
          <w:szCs w:val="24"/>
        </w:rPr>
        <w:t xml:space="preserve">“Será responsabilidad de los productores o usuarios realizar el triple lavado o lavado a presión de los envases, inmediatamente después del vaciamiento del envase durante la preparación del caldo o mezcla, además de perforar la base y devolver los envases vacíos a los centros o </w:t>
      </w:r>
      <w:proofErr w:type="spellStart"/>
      <w:r>
        <w:rPr>
          <w:i/>
          <w:sz w:val="24"/>
          <w:szCs w:val="24"/>
        </w:rPr>
        <w:t>minicentros</w:t>
      </w:r>
      <w:proofErr w:type="spellEnd"/>
      <w:r>
        <w:rPr>
          <w:i/>
          <w:sz w:val="24"/>
          <w:szCs w:val="24"/>
        </w:rPr>
        <w:t xml:space="preserve"> de acopio indicados en la factura de venta del producto emitida por el comercializador o distribuidor del mismo. Además, deberán disponer de un lugar para el almacenamiento temporal de los envases vacíos, donde permanecerán hasta la efectiva devolución de los mismos”</w:t>
      </w:r>
      <w:r>
        <w:rPr>
          <w:sz w:val="24"/>
          <w:szCs w:val="24"/>
        </w:rPr>
        <w:t xml:space="preserve">. </w:t>
      </w:r>
    </w:p>
    <w:p w:rsidR="00F54BE2" w:rsidRDefault="00F54BE2">
      <w:pPr>
        <w:tabs>
          <w:tab w:val="left" w:pos="567"/>
        </w:tabs>
        <w:ind w:left="0" w:hanging="2"/>
        <w:jc w:val="both"/>
        <w:rPr>
          <w:sz w:val="16"/>
          <w:szCs w:val="16"/>
        </w:rPr>
      </w:pPr>
    </w:p>
    <w:p w:rsidR="00F54BE2" w:rsidRDefault="00DA24ED">
      <w:pPr>
        <w:tabs>
          <w:tab w:val="left" w:pos="567"/>
        </w:tabs>
        <w:ind w:left="0" w:hanging="2"/>
        <w:jc w:val="both"/>
        <w:rPr>
          <w:sz w:val="24"/>
          <w:szCs w:val="24"/>
        </w:rPr>
      </w:pPr>
      <w:r>
        <w:rPr>
          <w:b/>
          <w:sz w:val="24"/>
          <w:szCs w:val="24"/>
        </w:rPr>
        <w:t>Artículo 49.-</w:t>
      </w:r>
      <w:r>
        <w:rPr>
          <w:sz w:val="24"/>
          <w:szCs w:val="24"/>
        </w:rPr>
        <w:t xml:space="preserve"> </w:t>
      </w:r>
      <w:r>
        <w:rPr>
          <w:i/>
          <w:sz w:val="24"/>
          <w:szCs w:val="24"/>
        </w:rPr>
        <w:t xml:space="preserve">“Los centros de acopio y puestos de recepción de envases vacíos, deberán tener a disposición una planilla de registro de control de las cantidades y tipos de envases </w:t>
      </w:r>
      <w:proofErr w:type="spellStart"/>
      <w:r>
        <w:rPr>
          <w:i/>
          <w:sz w:val="24"/>
          <w:szCs w:val="24"/>
        </w:rPr>
        <w:t>recepcionados</w:t>
      </w:r>
      <w:proofErr w:type="spellEnd"/>
      <w:r>
        <w:rPr>
          <w:i/>
          <w:sz w:val="24"/>
          <w:szCs w:val="24"/>
        </w:rPr>
        <w:t xml:space="preserve"> y enviados (ingreso y egreso) y declarar destino final, lo cual no puede ser destinado para envases o recipientes de alimento, bebidas, juguetes, u otro tipo de materiales o utensilios que pudieran representar riesgo para la contaminación o intoxicación de personas o animales”</w:t>
      </w:r>
      <w:r>
        <w:rPr>
          <w:sz w:val="24"/>
          <w:szCs w:val="24"/>
        </w:rPr>
        <w:t xml:space="preserve">. </w:t>
      </w:r>
    </w:p>
    <w:p w:rsidR="00F54BE2" w:rsidRDefault="00F54BE2">
      <w:pPr>
        <w:tabs>
          <w:tab w:val="left" w:pos="567"/>
        </w:tabs>
        <w:ind w:left="0" w:hanging="2"/>
        <w:jc w:val="both"/>
        <w:rPr>
          <w:sz w:val="16"/>
          <w:szCs w:val="16"/>
        </w:rPr>
      </w:pPr>
    </w:p>
    <w:p w:rsidR="00F54BE2" w:rsidRDefault="00DA24ED">
      <w:pPr>
        <w:tabs>
          <w:tab w:val="left" w:pos="567"/>
        </w:tabs>
        <w:ind w:left="0" w:hanging="2"/>
        <w:jc w:val="both"/>
        <w:rPr>
          <w:sz w:val="24"/>
          <w:szCs w:val="24"/>
        </w:rPr>
      </w:pPr>
      <w:r>
        <w:rPr>
          <w:b/>
          <w:sz w:val="24"/>
          <w:szCs w:val="24"/>
        </w:rPr>
        <w:lastRenderedPageBreak/>
        <w:t>Artículo 50.-</w:t>
      </w:r>
      <w:r>
        <w:rPr>
          <w:sz w:val="24"/>
          <w:szCs w:val="24"/>
        </w:rPr>
        <w:t xml:space="preserve"> </w:t>
      </w:r>
      <w:r>
        <w:rPr>
          <w:i/>
          <w:sz w:val="24"/>
          <w:szCs w:val="24"/>
        </w:rPr>
        <w:t>“La Autoridad de Aplicación reglamentará la destrucción de empaques y embalajes que han entrado en contacto con el producto”</w:t>
      </w:r>
      <w:r>
        <w:rPr>
          <w:sz w:val="24"/>
          <w:szCs w:val="24"/>
        </w:rPr>
        <w:t>.</w:t>
      </w:r>
    </w:p>
    <w:p w:rsidR="00F54BE2" w:rsidRDefault="00F54BE2">
      <w:pPr>
        <w:tabs>
          <w:tab w:val="left" w:pos="567"/>
        </w:tabs>
        <w:ind w:left="0" w:hanging="2"/>
        <w:jc w:val="both"/>
        <w:rPr>
          <w:sz w:val="16"/>
          <w:szCs w:val="16"/>
        </w:rPr>
      </w:pPr>
    </w:p>
    <w:p w:rsidR="00F54BE2" w:rsidRDefault="00DA24ED">
      <w:pPr>
        <w:tabs>
          <w:tab w:val="left" w:pos="567"/>
        </w:tabs>
        <w:ind w:left="0" w:hanging="2"/>
        <w:jc w:val="both"/>
        <w:rPr>
          <w:sz w:val="24"/>
          <w:szCs w:val="24"/>
        </w:rPr>
      </w:pPr>
      <w:r>
        <w:rPr>
          <w:b/>
          <w:sz w:val="24"/>
          <w:szCs w:val="24"/>
        </w:rPr>
        <w:t>Artículo 51.-</w:t>
      </w:r>
      <w:r>
        <w:rPr>
          <w:sz w:val="24"/>
          <w:szCs w:val="24"/>
        </w:rPr>
        <w:t xml:space="preserve"> </w:t>
      </w:r>
      <w:r>
        <w:rPr>
          <w:i/>
          <w:sz w:val="24"/>
          <w:szCs w:val="24"/>
        </w:rPr>
        <w:t>“No podrán ingresar en el país los productos fitosanitarios de uso agrícola, cuyo vencimiento sea en un plazo inferior a un año, a contarse a partir de la fecha de ingreso del mismo”</w:t>
      </w:r>
      <w:r>
        <w:rPr>
          <w:sz w:val="24"/>
          <w:szCs w:val="24"/>
        </w:rPr>
        <w:t>.</w:t>
      </w:r>
    </w:p>
    <w:p w:rsidR="00F54BE2" w:rsidRDefault="00F54BE2">
      <w:pPr>
        <w:pBdr>
          <w:top w:val="nil"/>
          <w:left w:val="nil"/>
          <w:bottom w:val="nil"/>
          <w:right w:val="nil"/>
          <w:between w:val="nil"/>
        </w:pBdr>
        <w:spacing w:line="240" w:lineRule="auto"/>
        <w:ind w:left="0" w:hanging="2"/>
        <w:jc w:val="both"/>
        <w:rPr>
          <w:color w:val="000000"/>
          <w:sz w:val="24"/>
          <w:szCs w:val="24"/>
        </w:rPr>
      </w:pPr>
    </w:p>
    <w:p w:rsidR="00F54BE2" w:rsidRDefault="00DA24ED">
      <w:pPr>
        <w:ind w:left="0" w:hanging="2"/>
        <w:jc w:val="both"/>
        <w:rPr>
          <w:sz w:val="24"/>
          <w:szCs w:val="24"/>
        </w:rPr>
      </w:pPr>
      <w:r>
        <w:rPr>
          <w:b/>
          <w:sz w:val="24"/>
          <w:szCs w:val="24"/>
        </w:rPr>
        <w:t>Que,</w:t>
      </w:r>
      <w:r>
        <w:rPr>
          <w:sz w:val="24"/>
          <w:szCs w:val="24"/>
        </w:rPr>
        <w:t xml:space="preserve"> la Ley </w:t>
      </w:r>
      <w:proofErr w:type="spellStart"/>
      <w:r>
        <w:rPr>
          <w:sz w:val="24"/>
          <w:szCs w:val="24"/>
        </w:rPr>
        <w:t>N°</w:t>
      </w:r>
      <w:proofErr w:type="spellEnd"/>
      <w:r>
        <w:rPr>
          <w:sz w:val="24"/>
          <w:szCs w:val="24"/>
        </w:rPr>
        <w:t xml:space="preserve"> 2459/04 </w:t>
      </w:r>
      <w:r>
        <w:rPr>
          <w:i/>
          <w:sz w:val="22"/>
          <w:szCs w:val="22"/>
        </w:rPr>
        <w:t>“QUE CREA EL SERVICIO NACIONAL DE CALIDAD Y SANIDAD VEGETAL Y DE SEMILLAS (SENAVE)”</w:t>
      </w:r>
      <w:r>
        <w:rPr>
          <w:sz w:val="24"/>
          <w:szCs w:val="24"/>
        </w:rPr>
        <w:t>, dispone:</w:t>
      </w:r>
    </w:p>
    <w:p w:rsidR="00F54BE2" w:rsidRDefault="00F54BE2">
      <w:pPr>
        <w:tabs>
          <w:tab w:val="left" w:pos="567"/>
        </w:tabs>
        <w:ind w:left="0" w:hanging="2"/>
        <w:jc w:val="both"/>
        <w:rPr>
          <w:sz w:val="16"/>
          <w:szCs w:val="16"/>
        </w:rPr>
      </w:pPr>
    </w:p>
    <w:p w:rsidR="00F54BE2" w:rsidRDefault="00DA24ED">
      <w:pPr>
        <w:tabs>
          <w:tab w:val="left" w:pos="567"/>
        </w:tabs>
        <w:ind w:left="0" w:hanging="2"/>
        <w:jc w:val="both"/>
        <w:rPr>
          <w:sz w:val="24"/>
          <w:szCs w:val="24"/>
        </w:rPr>
      </w:pPr>
      <w:r>
        <w:rPr>
          <w:b/>
          <w:sz w:val="24"/>
          <w:szCs w:val="24"/>
        </w:rPr>
        <w:t>Artículo 9°.-</w:t>
      </w:r>
      <w:r>
        <w:rPr>
          <w:sz w:val="24"/>
          <w:szCs w:val="24"/>
        </w:rPr>
        <w:t xml:space="preserve"> </w:t>
      </w:r>
      <w:r>
        <w:rPr>
          <w:i/>
          <w:sz w:val="24"/>
          <w:szCs w:val="24"/>
        </w:rPr>
        <w:t xml:space="preserve">“Serán funciones del SENAVE, además de las establecidas en las Leyes </w:t>
      </w:r>
      <w:proofErr w:type="spellStart"/>
      <w:r>
        <w:rPr>
          <w:i/>
          <w:sz w:val="24"/>
          <w:szCs w:val="24"/>
        </w:rPr>
        <w:t>Nºs</w:t>
      </w:r>
      <w:proofErr w:type="spellEnd"/>
      <w:r>
        <w:rPr>
          <w:i/>
          <w:sz w:val="24"/>
          <w:szCs w:val="24"/>
        </w:rPr>
        <w:t xml:space="preserve"> 123/91 y 385/94 y otras referentes a la sanidad y calidad vegetal y de semillas, las siguiente: c) Establecer las reglamentaciones técnicas para la ejecución de cualquier actividad de su competencia en todo el territorio nacional, de acuerdo a las legislaciones pertinentes, siendo las mismas de acatamiento obligatorio por parte de toda persona física, jurídico u organismos públicos o privados, sin excepción”</w:t>
      </w:r>
      <w:r>
        <w:rPr>
          <w:sz w:val="24"/>
          <w:szCs w:val="24"/>
        </w:rPr>
        <w:t>.</w:t>
      </w:r>
    </w:p>
    <w:p w:rsidR="00F54BE2" w:rsidRDefault="00F54BE2">
      <w:pPr>
        <w:tabs>
          <w:tab w:val="left" w:pos="567"/>
        </w:tabs>
        <w:ind w:left="0" w:hanging="2"/>
        <w:jc w:val="both"/>
        <w:rPr>
          <w:sz w:val="16"/>
          <w:szCs w:val="16"/>
        </w:rPr>
      </w:pPr>
    </w:p>
    <w:p w:rsidR="00F54BE2" w:rsidRDefault="00DA24ED">
      <w:pPr>
        <w:tabs>
          <w:tab w:val="left" w:pos="567"/>
        </w:tabs>
        <w:ind w:left="0" w:hanging="2"/>
        <w:jc w:val="both"/>
        <w:rPr>
          <w:sz w:val="24"/>
          <w:szCs w:val="24"/>
        </w:rPr>
      </w:pPr>
      <w:r>
        <w:rPr>
          <w:b/>
          <w:sz w:val="24"/>
          <w:szCs w:val="24"/>
        </w:rPr>
        <w:t>Artículo 13.-</w:t>
      </w:r>
      <w:r>
        <w:rPr>
          <w:i/>
          <w:sz w:val="24"/>
          <w:szCs w:val="24"/>
        </w:rPr>
        <w:t xml:space="preserve"> “Son atribuciones y funciones del </w:t>
      </w:r>
      <w:proofErr w:type="gramStart"/>
      <w:r>
        <w:rPr>
          <w:i/>
          <w:sz w:val="24"/>
          <w:szCs w:val="24"/>
        </w:rPr>
        <w:t>Presidente</w:t>
      </w:r>
      <w:proofErr w:type="gramEnd"/>
      <w:r>
        <w:rPr>
          <w:i/>
          <w:sz w:val="24"/>
          <w:szCs w:val="24"/>
        </w:rPr>
        <w:t>: p) realizar los demás actos para el mejor cumplimiento de sus fines”</w:t>
      </w:r>
      <w:r>
        <w:rPr>
          <w:sz w:val="24"/>
          <w:szCs w:val="24"/>
        </w:rPr>
        <w:t>.</w:t>
      </w:r>
    </w:p>
    <w:p w:rsidR="00F54BE2" w:rsidRDefault="00F54BE2">
      <w:pPr>
        <w:tabs>
          <w:tab w:val="left" w:pos="567"/>
        </w:tabs>
        <w:ind w:left="0" w:hanging="2"/>
        <w:jc w:val="both"/>
        <w:rPr>
          <w:sz w:val="24"/>
          <w:szCs w:val="24"/>
        </w:rPr>
      </w:pPr>
    </w:p>
    <w:p w:rsidR="00F54BE2" w:rsidRDefault="00DA24ED">
      <w:pPr>
        <w:tabs>
          <w:tab w:val="left" w:pos="567"/>
        </w:tabs>
        <w:ind w:left="0" w:hanging="2"/>
        <w:jc w:val="both"/>
        <w:rPr>
          <w:sz w:val="24"/>
          <w:szCs w:val="24"/>
        </w:rPr>
      </w:pPr>
      <w:r>
        <w:rPr>
          <w:b/>
          <w:sz w:val="24"/>
          <w:szCs w:val="24"/>
        </w:rPr>
        <w:t>Que,</w:t>
      </w:r>
      <w:r>
        <w:rPr>
          <w:sz w:val="24"/>
          <w:szCs w:val="24"/>
        </w:rPr>
        <w:t xml:space="preserve"> por Resolución SEAM </w:t>
      </w:r>
      <w:proofErr w:type="spellStart"/>
      <w:r>
        <w:rPr>
          <w:sz w:val="24"/>
          <w:szCs w:val="24"/>
        </w:rPr>
        <w:t>N°</w:t>
      </w:r>
      <w:proofErr w:type="spellEnd"/>
      <w:r>
        <w:rPr>
          <w:sz w:val="24"/>
          <w:szCs w:val="24"/>
        </w:rPr>
        <w:t xml:space="preserve"> 244/15 </w:t>
      </w:r>
      <w:r>
        <w:rPr>
          <w:i/>
          <w:sz w:val="22"/>
          <w:szCs w:val="22"/>
        </w:rPr>
        <w:t xml:space="preserve">“POR LA CUAL SE ESTABLECE EL PLAN DE GESTIÓN AMBIENTAL GENÉRICO PARA ACTIVIDADES AGRÍCOLAS, EN EL MARCO DE LEY 294/93 “DE EVALUACIÓN DE IMPACTO AMBIENTAL” Y SU MODIFICATORIA, LA LEY N°345/94 Y DE LOS DECRETOS REGLAMENTARIOS </w:t>
      </w:r>
      <w:proofErr w:type="spellStart"/>
      <w:r>
        <w:rPr>
          <w:i/>
          <w:sz w:val="22"/>
          <w:szCs w:val="22"/>
        </w:rPr>
        <w:t>N°</w:t>
      </w:r>
      <w:proofErr w:type="spellEnd"/>
      <w:r>
        <w:rPr>
          <w:i/>
          <w:sz w:val="22"/>
          <w:szCs w:val="22"/>
        </w:rPr>
        <w:t xml:space="preserve"> 453/13 Y </w:t>
      </w:r>
      <w:proofErr w:type="spellStart"/>
      <w:r>
        <w:rPr>
          <w:i/>
          <w:sz w:val="22"/>
          <w:szCs w:val="22"/>
        </w:rPr>
        <w:t>N°</w:t>
      </w:r>
      <w:proofErr w:type="spellEnd"/>
      <w:r>
        <w:rPr>
          <w:i/>
          <w:sz w:val="22"/>
          <w:szCs w:val="22"/>
        </w:rPr>
        <w:t xml:space="preserve"> 954/13”</w:t>
      </w:r>
      <w:r>
        <w:rPr>
          <w:sz w:val="24"/>
          <w:szCs w:val="24"/>
        </w:rPr>
        <w:t xml:space="preserve">, de fecha 24 de junio del 2015, la Secretaría del Ambiente, denominada actualmente el Ministerio del Ambiente y Desarrollo Sostenible (MADES), en la guía </w:t>
      </w:r>
      <w:r>
        <w:rPr>
          <w:i/>
          <w:sz w:val="24"/>
          <w:szCs w:val="24"/>
        </w:rPr>
        <w:t>“Plan de Gestión Ambiental Genérico para Actividades Agrícolas”</w:t>
      </w:r>
      <w:r>
        <w:rPr>
          <w:sz w:val="24"/>
          <w:szCs w:val="24"/>
        </w:rPr>
        <w:t>, dispone:</w:t>
      </w:r>
      <w:r>
        <w:rPr>
          <w:i/>
          <w:sz w:val="24"/>
          <w:szCs w:val="24"/>
        </w:rPr>
        <w:t xml:space="preserve"> “2. MEDIDAS PARA EL MANEJO DE AGROQUIMICOS: Cumplir con las normativas relacionadas al uso y manejo correcto de </w:t>
      </w:r>
      <w:proofErr w:type="spellStart"/>
      <w:r>
        <w:rPr>
          <w:i/>
          <w:sz w:val="24"/>
          <w:szCs w:val="24"/>
        </w:rPr>
        <w:t>agrodefensivos</w:t>
      </w:r>
      <w:proofErr w:type="spellEnd"/>
      <w:r>
        <w:rPr>
          <w:i/>
          <w:sz w:val="24"/>
          <w:szCs w:val="24"/>
        </w:rPr>
        <w:t xml:space="preserve"> establecidas por la Ley 3742/09 DE CONTROL DE PRODUCTOS FITOSANITARIOS DE USO AGRÍCOLA y normativas establecida por la Autoridad de Aplicación de dicha ley”</w:t>
      </w:r>
      <w:r>
        <w:rPr>
          <w:sz w:val="24"/>
          <w:szCs w:val="24"/>
        </w:rPr>
        <w:t>.</w:t>
      </w:r>
    </w:p>
    <w:p w:rsidR="00F54BE2" w:rsidRDefault="00F54BE2">
      <w:pPr>
        <w:tabs>
          <w:tab w:val="left" w:pos="567"/>
        </w:tabs>
        <w:ind w:left="0" w:hanging="2"/>
        <w:jc w:val="both"/>
        <w:rPr>
          <w:sz w:val="24"/>
          <w:szCs w:val="24"/>
        </w:rPr>
      </w:pPr>
    </w:p>
    <w:p w:rsidR="00F54BE2" w:rsidRDefault="00DA24ED">
      <w:pPr>
        <w:tabs>
          <w:tab w:val="left" w:pos="567"/>
        </w:tabs>
        <w:ind w:left="0" w:hanging="2"/>
        <w:jc w:val="both"/>
        <w:rPr>
          <w:sz w:val="24"/>
          <w:szCs w:val="24"/>
        </w:rPr>
      </w:pPr>
      <w:r>
        <w:rPr>
          <w:b/>
          <w:sz w:val="24"/>
          <w:szCs w:val="24"/>
        </w:rPr>
        <w:t>Que,</w:t>
      </w:r>
      <w:r>
        <w:rPr>
          <w:sz w:val="24"/>
          <w:szCs w:val="24"/>
        </w:rPr>
        <w:t xml:space="preserve"> por Resolución SENAVE </w:t>
      </w:r>
      <w:proofErr w:type="spellStart"/>
      <w:r>
        <w:rPr>
          <w:sz w:val="24"/>
          <w:szCs w:val="24"/>
        </w:rPr>
        <w:t>N°</w:t>
      </w:r>
      <w:proofErr w:type="spellEnd"/>
      <w:r>
        <w:rPr>
          <w:sz w:val="24"/>
          <w:szCs w:val="24"/>
        </w:rPr>
        <w:t xml:space="preserve"> 287/2020 </w:t>
      </w:r>
      <w:r>
        <w:rPr>
          <w:i/>
          <w:sz w:val="22"/>
          <w:szCs w:val="22"/>
        </w:rPr>
        <w:t>“POR LA CUAL SE ACTUALIZA EL PROCEDIMIENTO DE CONTROL DE DOCUMENTOS PARA LA ELABORACIÓN, VERIFICACIÓN, APROBACIÓN Y AUTORIZACIÓN DE DOCUMENTOS RELACIONADOS AL ÁMBITO DEL SISTEMA DE GESTIÓN DE CALIDAD (SGC) Y SE APRUEBAN LOS FORMULARIOS Y REGISTROS PARA EVIDENCIAR LA EJECUCIÓN DE LOS PROCESOS CON LOS REQUISITOS DEL SISTEMA DE GESTIÓN DE CALIDAD (SGC)”</w:t>
      </w:r>
      <w:r>
        <w:rPr>
          <w:sz w:val="24"/>
          <w:szCs w:val="24"/>
        </w:rPr>
        <w:t>,</w:t>
      </w:r>
      <w:r>
        <w:rPr>
          <w:i/>
          <w:sz w:val="24"/>
          <w:szCs w:val="24"/>
        </w:rPr>
        <w:t xml:space="preserve"> </w:t>
      </w:r>
      <w:r>
        <w:rPr>
          <w:sz w:val="24"/>
          <w:szCs w:val="24"/>
        </w:rPr>
        <w:t xml:space="preserve">de fecha 13 de mayo del 2020, se actualiza el procedimiento para control de documentos para la elaboración, verificación; aprobación y autorización de documentos relacionados al ámbito del Sistema de Gestión de Calidad (SGC), y se establece un plazo de diez (10) </w:t>
      </w:r>
      <w:r>
        <w:rPr>
          <w:sz w:val="24"/>
          <w:szCs w:val="24"/>
        </w:rPr>
        <w:lastRenderedPageBreak/>
        <w:t>días corridos para la socialización a través de los medios correspondientes, los documentos elaborados y verificados, antes de su aprobación.</w:t>
      </w:r>
    </w:p>
    <w:p w:rsidR="00F54BE2" w:rsidRDefault="00F54BE2">
      <w:pPr>
        <w:tabs>
          <w:tab w:val="left" w:pos="567"/>
        </w:tabs>
        <w:ind w:left="0" w:hanging="2"/>
        <w:jc w:val="both"/>
        <w:rPr>
          <w:sz w:val="24"/>
          <w:szCs w:val="24"/>
        </w:rPr>
      </w:pPr>
    </w:p>
    <w:p w:rsidR="00F54BE2" w:rsidRDefault="00DA24ED">
      <w:pPr>
        <w:pBdr>
          <w:top w:val="nil"/>
          <w:left w:val="nil"/>
          <w:bottom w:val="nil"/>
          <w:right w:val="nil"/>
          <w:between w:val="nil"/>
        </w:pBdr>
        <w:tabs>
          <w:tab w:val="left" w:pos="6220"/>
        </w:tabs>
        <w:spacing w:line="240" w:lineRule="auto"/>
        <w:ind w:left="0" w:hanging="2"/>
        <w:jc w:val="center"/>
        <w:rPr>
          <w:color w:val="000000"/>
          <w:sz w:val="24"/>
          <w:szCs w:val="24"/>
        </w:rPr>
      </w:pPr>
      <w:r>
        <w:rPr>
          <w:b/>
          <w:color w:val="000000"/>
          <w:sz w:val="24"/>
          <w:szCs w:val="24"/>
        </w:rPr>
        <w:t>POR TANTO:</w:t>
      </w:r>
    </w:p>
    <w:p w:rsidR="00F54BE2" w:rsidRDefault="00F54BE2">
      <w:pPr>
        <w:pBdr>
          <w:top w:val="nil"/>
          <w:left w:val="nil"/>
          <w:bottom w:val="nil"/>
          <w:right w:val="nil"/>
          <w:between w:val="nil"/>
        </w:pBdr>
        <w:tabs>
          <w:tab w:val="left" w:pos="6220"/>
        </w:tabs>
        <w:spacing w:line="240" w:lineRule="auto"/>
        <w:ind w:left="0" w:hanging="2"/>
        <w:jc w:val="center"/>
        <w:rPr>
          <w:color w:val="000000"/>
          <w:sz w:val="16"/>
          <w:szCs w:val="16"/>
        </w:rPr>
      </w:pPr>
    </w:p>
    <w:p w:rsidR="00F54BE2" w:rsidRDefault="00DA24ED">
      <w:pPr>
        <w:ind w:left="0" w:hanging="2"/>
        <w:jc w:val="both"/>
        <w:rPr>
          <w:sz w:val="24"/>
          <w:szCs w:val="24"/>
        </w:rPr>
      </w:pPr>
      <w:r>
        <w:rPr>
          <w:sz w:val="24"/>
          <w:szCs w:val="24"/>
        </w:rPr>
        <w:t xml:space="preserve">En virtud de las facultades y atribuciones conferidas por la Ley </w:t>
      </w:r>
      <w:proofErr w:type="spellStart"/>
      <w:r>
        <w:rPr>
          <w:sz w:val="24"/>
          <w:szCs w:val="24"/>
        </w:rPr>
        <w:t>N°</w:t>
      </w:r>
      <w:proofErr w:type="spellEnd"/>
      <w:r>
        <w:rPr>
          <w:sz w:val="24"/>
          <w:szCs w:val="24"/>
        </w:rPr>
        <w:t xml:space="preserve"> 2459/04</w:t>
      </w:r>
      <w:r>
        <w:rPr>
          <w:i/>
          <w:sz w:val="24"/>
          <w:szCs w:val="24"/>
        </w:rPr>
        <w:t xml:space="preserve"> “Que crea el Servicio Nacional de Calidad y Sanidad Vegetal y de Semillas (SENAVE)”</w:t>
      </w:r>
      <w:r>
        <w:rPr>
          <w:sz w:val="24"/>
          <w:szCs w:val="24"/>
        </w:rPr>
        <w:t>.</w:t>
      </w:r>
    </w:p>
    <w:p w:rsidR="00F54BE2" w:rsidRDefault="00F54BE2">
      <w:pPr>
        <w:ind w:left="0" w:hanging="2"/>
        <w:jc w:val="both"/>
        <w:rPr>
          <w:sz w:val="24"/>
          <w:szCs w:val="24"/>
        </w:rPr>
      </w:pPr>
    </w:p>
    <w:p w:rsidR="00F54BE2" w:rsidRDefault="00DA24ED">
      <w:pPr>
        <w:ind w:left="0" w:hanging="2"/>
        <w:jc w:val="center"/>
        <w:rPr>
          <w:sz w:val="24"/>
          <w:szCs w:val="24"/>
        </w:rPr>
      </w:pPr>
      <w:r>
        <w:rPr>
          <w:b/>
          <w:smallCaps/>
          <w:sz w:val="24"/>
          <w:szCs w:val="24"/>
        </w:rPr>
        <w:t>EL PRESIDENTE DEL SENAVE</w:t>
      </w:r>
    </w:p>
    <w:p w:rsidR="00F54BE2" w:rsidRDefault="00DA24ED">
      <w:pPr>
        <w:ind w:left="0" w:hanging="2"/>
        <w:jc w:val="center"/>
        <w:rPr>
          <w:sz w:val="24"/>
          <w:szCs w:val="24"/>
        </w:rPr>
      </w:pPr>
      <w:r>
        <w:rPr>
          <w:b/>
          <w:smallCaps/>
          <w:sz w:val="24"/>
          <w:szCs w:val="24"/>
        </w:rPr>
        <w:t>RESUELVE:</w:t>
      </w:r>
    </w:p>
    <w:p w:rsidR="00F54BE2" w:rsidRDefault="00F54BE2">
      <w:pPr>
        <w:ind w:left="0" w:hanging="2"/>
        <w:jc w:val="center"/>
        <w:rPr>
          <w:sz w:val="16"/>
          <w:szCs w:val="16"/>
        </w:rPr>
      </w:pPr>
    </w:p>
    <w:p w:rsidR="00F54BE2" w:rsidRDefault="00F54BE2">
      <w:pPr>
        <w:pBdr>
          <w:top w:val="nil"/>
          <w:left w:val="nil"/>
          <w:bottom w:val="nil"/>
          <w:right w:val="nil"/>
          <w:between w:val="nil"/>
        </w:pBdr>
        <w:tabs>
          <w:tab w:val="left" w:pos="567"/>
        </w:tabs>
        <w:spacing w:line="240" w:lineRule="auto"/>
        <w:ind w:left="0" w:hanging="2"/>
        <w:jc w:val="both"/>
        <w:rPr>
          <w:color w:val="000000"/>
          <w:sz w:val="24"/>
          <w:szCs w:val="24"/>
        </w:rPr>
      </w:pPr>
    </w:p>
    <w:p w:rsidR="00F54BE2" w:rsidRDefault="00DA24ED">
      <w:pPr>
        <w:pBdr>
          <w:top w:val="nil"/>
          <w:left w:val="nil"/>
          <w:bottom w:val="nil"/>
          <w:right w:val="nil"/>
          <w:between w:val="nil"/>
        </w:pBdr>
        <w:tabs>
          <w:tab w:val="left" w:pos="567"/>
        </w:tabs>
        <w:spacing w:line="240" w:lineRule="auto"/>
        <w:ind w:left="0" w:hanging="2"/>
        <w:jc w:val="both"/>
        <w:rPr>
          <w:color w:val="000000"/>
          <w:sz w:val="24"/>
          <w:szCs w:val="24"/>
        </w:rPr>
      </w:pPr>
      <w:r>
        <w:rPr>
          <w:b/>
          <w:color w:val="000000"/>
          <w:sz w:val="24"/>
          <w:szCs w:val="24"/>
        </w:rPr>
        <w:t xml:space="preserve">Artículo </w:t>
      </w:r>
      <w:r>
        <w:rPr>
          <w:b/>
          <w:sz w:val="24"/>
          <w:szCs w:val="24"/>
        </w:rPr>
        <w:t>1</w:t>
      </w:r>
      <w:proofErr w:type="gramStart"/>
      <w:r>
        <w:rPr>
          <w:b/>
          <w:color w:val="000000"/>
          <w:sz w:val="24"/>
          <w:szCs w:val="24"/>
        </w:rPr>
        <w:t>°.-</w:t>
      </w:r>
      <w:proofErr w:type="gramEnd"/>
      <w:r>
        <w:rPr>
          <w:b/>
          <w:color w:val="000000"/>
          <w:sz w:val="24"/>
          <w:szCs w:val="24"/>
        </w:rPr>
        <w:t xml:space="preserve"> APROBAR </w:t>
      </w:r>
      <w:r>
        <w:rPr>
          <w:color w:val="000000"/>
          <w:sz w:val="24"/>
          <w:szCs w:val="24"/>
        </w:rPr>
        <w:t xml:space="preserve">el Procedimiento para </w:t>
      </w:r>
      <w:r>
        <w:rPr>
          <w:sz w:val="24"/>
          <w:szCs w:val="24"/>
        </w:rPr>
        <w:t>POR LA CUAL SE DISPONE LA IMPLEMENTACIÓN Y SEGUIMIENTO DEL PLAN DE MANEJO PARA ENTREGA, RECOLECCIÓN, TRANSPORTE, RECEPCIÓN Y TRATAMIENTO DE ENVASES VACÍOS Y EMBALAJES DE INSUMOS AGRÍCOLAS A LAS ENTIDADES RECICLADORAS”.</w:t>
      </w:r>
      <w:r>
        <w:rPr>
          <w:i/>
          <w:color w:val="000000"/>
          <w:sz w:val="24"/>
          <w:szCs w:val="24"/>
        </w:rPr>
        <w:t>”</w:t>
      </w:r>
      <w:r>
        <w:rPr>
          <w:color w:val="000000"/>
          <w:sz w:val="24"/>
          <w:szCs w:val="24"/>
        </w:rPr>
        <w:t>, conforme al Anexo I que se adjunta y forma parte de la presente Resolución.</w:t>
      </w:r>
    </w:p>
    <w:p w:rsidR="00F54BE2" w:rsidRDefault="00F54BE2">
      <w:pPr>
        <w:pBdr>
          <w:top w:val="nil"/>
          <w:left w:val="nil"/>
          <w:bottom w:val="nil"/>
          <w:right w:val="nil"/>
          <w:between w:val="nil"/>
        </w:pBdr>
        <w:tabs>
          <w:tab w:val="left" w:pos="567"/>
        </w:tabs>
        <w:spacing w:line="240" w:lineRule="auto"/>
        <w:ind w:left="0" w:hanging="2"/>
        <w:jc w:val="both"/>
        <w:rPr>
          <w:color w:val="000000"/>
          <w:sz w:val="24"/>
          <w:szCs w:val="24"/>
        </w:rPr>
      </w:pPr>
    </w:p>
    <w:p w:rsidR="00F54BE2" w:rsidRDefault="00DA24ED">
      <w:pPr>
        <w:pBdr>
          <w:top w:val="nil"/>
          <w:left w:val="nil"/>
          <w:bottom w:val="nil"/>
          <w:right w:val="nil"/>
          <w:between w:val="nil"/>
        </w:pBdr>
        <w:tabs>
          <w:tab w:val="left" w:pos="567"/>
        </w:tabs>
        <w:spacing w:line="240" w:lineRule="auto"/>
        <w:ind w:left="0" w:hanging="2"/>
        <w:jc w:val="both"/>
        <w:rPr>
          <w:color w:val="000000"/>
          <w:sz w:val="24"/>
          <w:szCs w:val="24"/>
        </w:rPr>
      </w:pPr>
      <w:r>
        <w:rPr>
          <w:b/>
          <w:color w:val="000000"/>
          <w:sz w:val="24"/>
          <w:szCs w:val="24"/>
        </w:rPr>
        <w:t xml:space="preserve">Artículo </w:t>
      </w:r>
      <w:r>
        <w:rPr>
          <w:b/>
          <w:sz w:val="24"/>
          <w:szCs w:val="24"/>
        </w:rPr>
        <w:t>2</w:t>
      </w:r>
      <w:r>
        <w:rPr>
          <w:b/>
          <w:color w:val="000000"/>
          <w:sz w:val="24"/>
          <w:szCs w:val="24"/>
        </w:rPr>
        <w:t xml:space="preserve">° </w:t>
      </w:r>
      <w:r>
        <w:rPr>
          <w:b/>
          <w:sz w:val="24"/>
          <w:szCs w:val="24"/>
        </w:rPr>
        <w:t>APROBAR</w:t>
      </w:r>
      <w:r>
        <w:rPr>
          <w:color w:val="000000"/>
          <w:sz w:val="24"/>
          <w:szCs w:val="24"/>
        </w:rPr>
        <w:t xml:space="preserve"> la </w:t>
      </w:r>
      <w:r>
        <w:rPr>
          <w:sz w:val="24"/>
          <w:szCs w:val="24"/>
        </w:rPr>
        <w:t>obligatoriedad</w:t>
      </w:r>
      <w:r>
        <w:rPr>
          <w:color w:val="000000"/>
          <w:sz w:val="24"/>
          <w:szCs w:val="24"/>
        </w:rPr>
        <w:t xml:space="preserve"> de la utilización </w:t>
      </w:r>
      <w:r>
        <w:rPr>
          <w:sz w:val="24"/>
          <w:szCs w:val="24"/>
        </w:rPr>
        <w:t xml:space="preserve">del Manifiesto como documento de respaldo </w:t>
      </w:r>
      <w:proofErr w:type="gramStart"/>
      <w:r>
        <w:rPr>
          <w:sz w:val="24"/>
          <w:szCs w:val="24"/>
        </w:rPr>
        <w:t>para  la</w:t>
      </w:r>
      <w:proofErr w:type="gramEnd"/>
      <w:r>
        <w:rPr>
          <w:sz w:val="24"/>
          <w:szCs w:val="24"/>
        </w:rPr>
        <w:t xml:space="preserve"> </w:t>
      </w:r>
      <w:r>
        <w:rPr>
          <w:color w:val="000000"/>
          <w:sz w:val="24"/>
          <w:szCs w:val="24"/>
        </w:rPr>
        <w:t xml:space="preserve"> Entrega,   Transporte   y Recepción de   Envases Vacíos y Embalajes de Insumos Agrícolas, según lo indicado en el  procedimiento del Anexo I que deberá llevar las etiquetas con código QR  </w:t>
      </w:r>
      <w:r>
        <w:rPr>
          <w:sz w:val="24"/>
          <w:szCs w:val="24"/>
        </w:rPr>
        <w:t>proveídas</w:t>
      </w:r>
      <w:r>
        <w:rPr>
          <w:color w:val="000000"/>
          <w:sz w:val="24"/>
          <w:szCs w:val="24"/>
        </w:rPr>
        <w:t xml:space="preserve"> por el SENAVE.</w:t>
      </w:r>
    </w:p>
    <w:p w:rsidR="00F54BE2" w:rsidRDefault="00F54BE2">
      <w:pPr>
        <w:pBdr>
          <w:top w:val="nil"/>
          <w:left w:val="nil"/>
          <w:bottom w:val="nil"/>
          <w:right w:val="nil"/>
          <w:between w:val="nil"/>
        </w:pBdr>
        <w:tabs>
          <w:tab w:val="left" w:pos="567"/>
        </w:tabs>
        <w:spacing w:line="240" w:lineRule="auto"/>
        <w:ind w:left="0" w:hanging="2"/>
        <w:jc w:val="both"/>
        <w:rPr>
          <w:color w:val="000000"/>
          <w:sz w:val="24"/>
          <w:szCs w:val="24"/>
        </w:rPr>
      </w:pPr>
    </w:p>
    <w:p w:rsidR="00F54BE2" w:rsidRDefault="00DA24ED">
      <w:pPr>
        <w:pBdr>
          <w:top w:val="nil"/>
          <w:left w:val="nil"/>
          <w:bottom w:val="nil"/>
          <w:right w:val="nil"/>
          <w:between w:val="nil"/>
        </w:pBdr>
        <w:tabs>
          <w:tab w:val="left" w:pos="567"/>
        </w:tabs>
        <w:spacing w:line="240" w:lineRule="auto"/>
        <w:ind w:left="0" w:hanging="2"/>
        <w:jc w:val="both"/>
        <w:rPr>
          <w:color w:val="000000"/>
          <w:sz w:val="24"/>
          <w:szCs w:val="24"/>
        </w:rPr>
      </w:pPr>
      <w:r>
        <w:rPr>
          <w:b/>
          <w:color w:val="000000"/>
          <w:sz w:val="24"/>
          <w:szCs w:val="24"/>
        </w:rPr>
        <w:t>Artículo 3°.- AUTORIZAR</w:t>
      </w:r>
      <w:r>
        <w:rPr>
          <w:color w:val="000000"/>
          <w:sz w:val="24"/>
          <w:szCs w:val="24"/>
        </w:rPr>
        <w:t xml:space="preserve"> a la Dirección General de Administración y Finanzas a la provisión de etiquetas codificadas, para su uso en la implementación del PLAN DE MANEJO PARA E ENTREGA, </w:t>
      </w:r>
      <w:r>
        <w:rPr>
          <w:sz w:val="24"/>
          <w:szCs w:val="24"/>
        </w:rPr>
        <w:t>RECOLECCIÓN</w:t>
      </w:r>
      <w:r>
        <w:rPr>
          <w:color w:val="000000"/>
          <w:sz w:val="24"/>
          <w:szCs w:val="24"/>
        </w:rPr>
        <w:t xml:space="preserve">, TRANSPORTE, RECEPCIÓN Y TRATAMIENTO DE ENVASES VACÍOS Y EMBALAJES DE INSUMOS AGRÍCOLAS A LAS ENTIDADES RECICLADORAS, a solicitud del Departamento de Evaluación y Mitigación de Riesgos de Plaguicidas, de la Dirección de Agroquímicos e Insumos Agrícolas de acuerdo a la necesidad de dicha dependencia y de sus usuarios. </w:t>
      </w:r>
    </w:p>
    <w:p w:rsidR="00F54BE2" w:rsidRDefault="00DA24ED">
      <w:pPr>
        <w:spacing w:before="240"/>
        <w:ind w:left="0" w:hanging="2"/>
        <w:jc w:val="both"/>
        <w:rPr>
          <w:sz w:val="24"/>
          <w:szCs w:val="24"/>
        </w:rPr>
      </w:pPr>
      <w:r>
        <w:rPr>
          <w:b/>
          <w:sz w:val="24"/>
          <w:szCs w:val="24"/>
        </w:rPr>
        <w:t>Artículo 4</w:t>
      </w:r>
      <w:proofErr w:type="gramStart"/>
      <w:r>
        <w:rPr>
          <w:b/>
          <w:sz w:val="24"/>
          <w:szCs w:val="24"/>
        </w:rPr>
        <w:t>°.-</w:t>
      </w:r>
      <w:proofErr w:type="gramEnd"/>
      <w:r>
        <w:rPr>
          <w:sz w:val="24"/>
          <w:szCs w:val="24"/>
        </w:rPr>
        <w:t xml:space="preserve"> </w:t>
      </w:r>
      <w:r>
        <w:rPr>
          <w:b/>
          <w:sz w:val="24"/>
          <w:szCs w:val="24"/>
        </w:rPr>
        <w:t>EXONERAR</w:t>
      </w:r>
      <w:r>
        <w:rPr>
          <w:sz w:val="24"/>
          <w:szCs w:val="24"/>
        </w:rPr>
        <w:t xml:space="preserve"> a las recicladoras registradas ante el SENAVE, del pago en concepto de provisión de etiquetas codificadas utilizadas dentro del </w:t>
      </w:r>
      <w:r>
        <w:rPr>
          <w:i/>
          <w:sz w:val="24"/>
          <w:szCs w:val="24"/>
        </w:rPr>
        <w:t>“Plan de  manifiesto de entrega, transporte y recepción de envases vacíos y embalajes de insumos agrícolas”</w:t>
      </w:r>
      <w:r>
        <w:rPr>
          <w:sz w:val="24"/>
          <w:szCs w:val="24"/>
        </w:rPr>
        <w:t xml:space="preserve">, cuyo costo es de Gs. 310 </w:t>
      </w:r>
      <w:r>
        <w:rPr>
          <w:i/>
          <w:sz w:val="24"/>
          <w:szCs w:val="24"/>
        </w:rPr>
        <w:t>(</w:t>
      </w:r>
      <w:proofErr w:type="gramStart"/>
      <w:r>
        <w:rPr>
          <w:i/>
          <w:sz w:val="24"/>
          <w:szCs w:val="24"/>
        </w:rPr>
        <w:t>Guaraníes</w:t>
      </w:r>
      <w:proofErr w:type="gramEnd"/>
      <w:r>
        <w:rPr>
          <w:i/>
          <w:sz w:val="24"/>
          <w:szCs w:val="24"/>
        </w:rPr>
        <w:t xml:space="preserve"> trescientos diez)</w:t>
      </w:r>
      <w:r>
        <w:rPr>
          <w:sz w:val="24"/>
          <w:szCs w:val="24"/>
        </w:rPr>
        <w:t xml:space="preserve">, según el Contrato </w:t>
      </w:r>
      <w:proofErr w:type="spellStart"/>
      <w:r>
        <w:rPr>
          <w:sz w:val="24"/>
          <w:szCs w:val="24"/>
        </w:rPr>
        <w:t>N°</w:t>
      </w:r>
      <w:proofErr w:type="spellEnd"/>
      <w:r>
        <w:rPr>
          <w:sz w:val="24"/>
          <w:szCs w:val="24"/>
        </w:rPr>
        <w:t xml:space="preserve"> 48/2014.</w:t>
      </w:r>
    </w:p>
    <w:p w:rsidR="00F54BE2" w:rsidRDefault="00F54BE2">
      <w:pPr>
        <w:ind w:left="0" w:hanging="2"/>
        <w:jc w:val="both"/>
        <w:rPr>
          <w:sz w:val="24"/>
          <w:szCs w:val="24"/>
        </w:rPr>
      </w:pPr>
    </w:p>
    <w:p w:rsidR="00F54BE2" w:rsidRDefault="00DA24ED">
      <w:pPr>
        <w:ind w:left="0" w:hanging="2"/>
        <w:jc w:val="both"/>
        <w:rPr>
          <w:sz w:val="24"/>
          <w:szCs w:val="24"/>
        </w:rPr>
      </w:pPr>
      <w:r>
        <w:rPr>
          <w:b/>
          <w:sz w:val="24"/>
          <w:szCs w:val="24"/>
        </w:rPr>
        <w:t>Artículo 6</w:t>
      </w:r>
      <w:proofErr w:type="gramStart"/>
      <w:r>
        <w:rPr>
          <w:b/>
          <w:sz w:val="24"/>
          <w:szCs w:val="24"/>
        </w:rPr>
        <w:t>°.-</w:t>
      </w:r>
      <w:proofErr w:type="gramEnd"/>
      <w:r>
        <w:rPr>
          <w:b/>
          <w:sz w:val="24"/>
          <w:szCs w:val="24"/>
        </w:rPr>
        <w:t xml:space="preserve"> DISPONER</w:t>
      </w:r>
      <w:r>
        <w:rPr>
          <w:sz w:val="24"/>
          <w:szCs w:val="24"/>
        </w:rPr>
        <w:t xml:space="preserve"> que la Dirección General de Administración y Finanzas, la Dirección General Técnica y la Dirección de Tecnología de la Información y Comunicación, a través de sus áreas competentes, son responsables del cumplimiento de la presente resolución.</w:t>
      </w:r>
    </w:p>
    <w:p w:rsidR="00F54BE2" w:rsidRDefault="00F54BE2">
      <w:pPr>
        <w:tabs>
          <w:tab w:val="left" w:pos="1650"/>
          <w:tab w:val="left" w:pos="2090"/>
        </w:tabs>
        <w:ind w:left="0" w:hanging="2"/>
        <w:jc w:val="both"/>
        <w:rPr>
          <w:sz w:val="24"/>
          <w:szCs w:val="24"/>
        </w:rPr>
      </w:pPr>
    </w:p>
    <w:p w:rsidR="00F54BE2" w:rsidRDefault="00DA24ED">
      <w:pPr>
        <w:tabs>
          <w:tab w:val="left" w:pos="1650"/>
          <w:tab w:val="left" w:pos="2090"/>
        </w:tabs>
        <w:ind w:left="0" w:hanging="2"/>
        <w:jc w:val="both"/>
        <w:rPr>
          <w:sz w:val="24"/>
          <w:szCs w:val="24"/>
        </w:rPr>
      </w:pPr>
      <w:r>
        <w:rPr>
          <w:b/>
          <w:sz w:val="24"/>
          <w:szCs w:val="24"/>
        </w:rPr>
        <w:t>Artículo 7</w:t>
      </w:r>
      <w:proofErr w:type="gramStart"/>
      <w:r>
        <w:rPr>
          <w:b/>
          <w:sz w:val="24"/>
          <w:szCs w:val="24"/>
        </w:rPr>
        <w:t>°.-</w:t>
      </w:r>
      <w:proofErr w:type="gramEnd"/>
      <w:r>
        <w:rPr>
          <w:b/>
          <w:sz w:val="24"/>
          <w:szCs w:val="24"/>
        </w:rPr>
        <w:t xml:space="preserve"> ESTABLECER</w:t>
      </w:r>
      <w:r>
        <w:rPr>
          <w:sz w:val="24"/>
          <w:szCs w:val="24"/>
        </w:rPr>
        <w:t xml:space="preserve"> </w:t>
      </w:r>
      <w:r>
        <w:rPr>
          <w:color w:val="000000"/>
          <w:sz w:val="24"/>
          <w:szCs w:val="24"/>
        </w:rPr>
        <w:t>que la presente Resolución rige a partir de su promulgación.</w:t>
      </w:r>
    </w:p>
    <w:p w:rsidR="00F54BE2" w:rsidRDefault="00F54BE2">
      <w:pPr>
        <w:tabs>
          <w:tab w:val="left" w:pos="1650"/>
          <w:tab w:val="left" w:pos="2090"/>
        </w:tabs>
        <w:ind w:left="0" w:hanging="2"/>
        <w:jc w:val="both"/>
        <w:rPr>
          <w:sz w:val="24"/>
          <w:szCs w:val="24"/>
        </w:rPr>
      </w:pPr>
    </w:p>
    <w:p w:rsidR="00F54BE2" w:rsidRDefault="00DA24ED">
      <w:pPr>
        <w:pBdr>
          <w:top w:val="nil"/>
          <w:left w:val="nil"/>
          <w:bottom w:val="nil"/>
          <w:right w:val="nil"/>
          <w:between w:val="nil"/>
        </w:pBdr>
        <w:tabs>
          <w:tab w:val="left" w:pos="567"/>
        </w:tabs>
        <w:spacing w:line="240" w:lineRule="auto"/>
        <w:ind w:left="0" w:hanging="2"/>
        <w:jc w:val="both"/>
        <w:rPr>
          <w:color w:val="000000"/>
          <w:sz w:val="24"/>
          <w:szCs w:val="24"/>
        </w:rPr>
      </w:pPr>
      <w:r>
        <w:rPr>
          <w:b/>
          <w:color w:val="000000"/>
          <w:sz w:val="24"/>
          <w:szCs w:val="24"/>
        </w:rPr>
        <w:t>Artículo 8°- COMUNICAR</w:t>
      </w:r>
      <w:r>
        <w:rPr>
          <w:color w:val="000000"/>
          <w:sz w:val="24"/>
          <w:szCs w:val="24"/>
        </w:rPr>
        <w:t xml:space="preserve"> a quienes corresponda y cumplida, </w:t>
      </w:r>
      <w:proofErr w:type="spellStart"/>
      <w:r>
        <w:rPr>
          <w:color w:val="000000"/>
          <w:sz w:val="24"/>
          <w:szCs w:val="24"/>
        </w:rPr>
        <w:t>archívar</w:t>
      </w:r>
      <w:proofErr w:type="spellEnd"/>
      <w:r>
        <w:rPr>
          <w:color w:val="000000"/>
          <w:sz w:val="24"/>
          <w:szCs w:val="24"/>
        </w:rPr>
        <w:t>.</w:t>
      </w:r>
    </w:p>
    <w:p w:rsidR="00F54BE2" w:rsidRDefault="00DA24ED">
      <w:pPr>
        <w:tabs>
          <w:tab w:val="left" w:pos="3686"/>
          <w:tab w:val="left" w:pos="3828"/>
        </w:tabs>
        <w:ind w:left="0" w:hanging="2"/>
        <w:jc w:val="center"/>
        <w:rPr>
          <w:sz w:val="24"/>
          <w:szCs w:val="24"/>
        </w:rPr>
      </w:pPr>
      <w:r>
        <w:rPr>
          <w:b/>
          <w:sz w:val="24"/>
          <w:szCs w:val="24"/>
        </w:rPr>
        <w:t xml:space="preserve">FDO.: ING. AGR. RODRIGO GONZÁLEZ </w:t>
      </w:r>
    </w:p>
    <w:p w:rsidR="00F54BE2" w:rsidRDefault="00DA24ED">
      <w:pPr>
        <w:tabs>
          <w:tab w:val="left" w:pos="3686"/>
          <w:tab w:val="left" w:pos="3828"/>
        </w:tabs>
        <w:ind w:left="0" w:hanging="2"/>
        <w:jc w:val="center"/>
        <w:rPr>
          <w:sz w:val="24"/>
          <w:szCs w:val="24"/>
        </w:rPr>
      </w:pPr>
      <w:r>
        <w:rPr>
          <w:b/>
          <w:sz w:val="24"/>
          <w:szCs w:val="24"/>
        </w:rPr>
        <w:t>PRESIDENTE</w:t>
      </w:r>
    </w:p>
    <w:p w:rsidR="00F54BE2" w:rsidRDefault="00F54BE2">
      <w:pPr>
        <w:tabs>
          <w:tab w:val="left" w:pos="3686"/>
          <w:tab w:val="left" w:pos="3828"/>
        </w:tabs>
        <w:rPr>
          <w:sz w:val="14"/>
          <w:szCs w:val="14"/>
        </w:rPr>
      </w:pPr>
    </w:p>
    <w:p w:rsidR="00F54BE2" w:rsidRDefault="00DA24ED">
      <w:pPr>
        <w:tabs>
          <w:tab w:val="left" w:pos="3686"/>
          <w:tab w:val="left" w:pos="3828"/>
        </w:tabs>
        <w:ind w:left="0" w:hanging="2"/>
        <w:rPr>
          <w:sz w:val="24"/>
          <w:szCs w:val="24"/>
        </w:rPr>
      </w:pPr>
      <w:r>
        <w:rPr>
          <w:b/>
          <w:sz w:val="24"/>
          <w:szCs w:val="24"/>
        </w:rPr>
        <w:t>ES COPIA</w:t>
      </w:r>
    </w:p>
    <w:p w:rsidR="00F54BE2" w:rsidRDefault="00DA24ED">
      <w:pPr>
        <w:tabs>
          <w:tab w:val="left" w:pos="3686"/>
          <w:tab w:val="left" w:pos="3828"/>
        </w:tabs>
        <w:ind w:left="0" w:hanging="2"/>
        <w:rPr>
          <w:sz w:val="24"/>
          <w:szCs w:val="24"/>
        </w:rPr>
      </w:pPr>
      <w:r>
        <w:rPr>
          <w:b/>
          <w:sz w:val="24"/>
          <w:szCs w:val="24"/>
        </w:rPr>
        <w:t>ING. AGR. CARMELITA TORRES DE OVIEDO</w:t>
      </w:r>
    </w:p>
    <w:p w:rsidR="00F54BE2" w:rsidRDefault="00DA24ED">
      <w:pPr>
        <w:tabs>
          <w:tab w:val="left" w:pos="3686"/>
          <w:tab w:val="left" w:pos="3828"/>
        </w:tabs>
        <w:ind w:left="0" w:hanging="2"/>
        <w:rPr>
          <w:sz w:val="24"/>
          <w:szCs w:val="24"/>
        </w:rPr>
      </w:pPr>
      <w:r>
        <w:rPr>
          <w:b/>
          <w:sz w:val="24"/>
          <w:szCs w:val="24"/>
        </w:rPr>
        <w:t>SECRETARIA GENERAL</w:t>
      </w:r>
    </w:p>
    <w:p w:rsidR="00F54BE2" w:rsidRDefault="00F54BE2">
      <w:pPr>
        <w:tabs>
          <w:tab w:val="left" w:pos="3686"/>
          <w:tab w:val="left" w:pos="3828"/>
        </w:tabs>
        <w:ind w:left="0" w:hanging="2"/>
        <w:jc w:val="center"/>
        <w:rPr>
          <w:sz w:val="24"/>
          <w:szCs w:val="24"/>
        </w:rPr>
      </w:pPr>
    </w:p>
    <w:sectPr w:rsidR="00F54BE2">
      <w:headerReference w:type="even" r:id="rId7"/>
      <w:headerReference w:type="default" r:id="rId8"/>
      <w:footerReference w:type="even" r:id="rId9"/>
      <w:footerReference w:type="default" r:id="rId10"/>
      <w:headerReference w:type="first" r:id="rId11"/>
      <w:footerReference w:type="first" r:id="rId12"/>
      <w:pgSz w:w="11907" w:h="16840"/>
      <w:pgMar w:top="3828" w:right="1701" w:bottom="1843" w:left="1701" w:header="794" w:footer="1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F45" w:rsidRDefault="003C5F45">
      <w:pPr>
        <w:spacing w:line="240" w:lineRule="auto"/>
        <w:ind w:left="0" w:hanging="2"/>
      </w:pPr>
      <w:r>
        <w:separator/>
      </w:r>
    </w:p>
  </w:endnote>
  <w:endnote w:type="continuationSeparator" w:id="0">
    <w:p w:rsidR="003C5F45" w:rsidRDefault="003C5F4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E2" w:rsidRDefault="00DA24E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F54BE2" w:rsidRDefault="00F54BE2">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E2" w:rsidRDefault="00DA24ED">
    <w:pPr>
      <w:pBdr>
        <w:top w:val="nil"/>
        <w:left w:val="nil"/>
        <w:bottom w:val="nil"/>
        <w:right w:val="nil"/>
        <w:between w:val="nil"/>
      </w:pBdr>
      <w:tabs>
        <w:tab w:val="center" w:pos="4252"/>
        <w:tab w:val="right" w:pos="8504"/>
      </w:tabs>
      <w:spacing w:line="240" w:lineRule="auto"/>
      <w:ind w:left="0" w:right="765" w:hanging="2"/>
      <w:jc w:val="right"/>
      <w:rPr>
        <w:color w:val="000000"/>
        <w:sz w:val="16"/>
        <w:szCs w:val="16"/>
      </w:rPr>
    </w:pPr>
    <w:r>
      <w:rPr>
        <w:noProof/>
      </w:rPr>
      <w:drawing>
        <wp:anchor distT="0" distB="0" distL="0" distR="0" simplePos="0" relativeHeight="251662336" behindDoc="1" locked="0" layoutInCell="1" hidden="0" allowOverlap="1">
          <wp:simplePos x="0" y="0"/>
          <wp:positionH relativeFrom="column">
            <wp:posOffset>-1058544</wp:posOffset>
          </wp:positionH>
          <wp:positionV relativeFrom="paragraph">
            <wp:posOffset>-883284</wp:posOffset>
          </wp:positionV>
          <wp:extent cx="7561580" cy="1043940"/>
          <wp:effectExtent l="0" t="0" r="0" b="0"/>
          <wp:wrapNone/>
          <wp:docPr id="10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t="90237"/>
                  <a:stretch>
                    <a:fillRect/>
                  </a:stretch>
                </pic:blipFill>
                <pic:spPr>
                  <a:xfrm>
                    <a:off x="0" y="0"/>
                    <a:ext cx="7561580" cy="1043940"/>
                  </a:xfrm>
                  <a:prstGeom prst="rect">
                    <a:avLst/>
                  </a:prstGeom>
                  <a:ln/>
                </pic:spPr>
              </pic:pic>
            </a:graphicData>
          </a:graphic>
        </wp:anchor>
      </w:drawing>
    </w:r>
    <w:r>
      <w:rPr>
        <w:noProof/>
      </w:rPr>
      <w:drawing>
        <wp:anchor distT="0" distB="0" distL="0" distR="0" simplePos="0" relativeHeight="251663360" behindDoc="1" locked="0" layoutInCell="1" hidden="0" allowOverlap="1">
          <wp:simplePos x="0" y="0"/>
          <wp:positionH relativeFrom="column">
            <wp:posOffset>-1080134</wp:posOffset>
          </wp:positionH>
          <wp:positionV relativeFrom="paragraph">
            <wp:posOffset>0</wp:posOffset>
          </wp:positionV>
          <wp:extent cx="7705090" cy="1024255"/>
          <wp:effectExtent l="0" t="0" r="0" b="0"/>
          <wp:wrapNone/>
          <wp:docPr id="10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t="90420"/>
                  <a:stretch>
                    <a:fillRect/>
                  </a:stretch>
                </pic:blipFill>
                <pic:spPr>
                  <a:xfrm>
                    <a:off x="0" y="0"/>
                    <a:ext cx="7705090" cy="102425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D46" w:rsidRDefault="005C0D46">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F45" w:rsidRDefault="003C5F45">
      <w:pPr>
        <w:spacing w:line="240" w:lineRule="auto"/>
        <w:ind w:left="0" w:hanging="2"/>
      </w:pPr>
      <w:r>
        <w:separator/>
      </w:r>
    </w:p>
  </w:footnote>
  <w:footnote w:type="continuationSeparator" w:id="0">
    <w:p w:rsidR="003C5F45" w:rsidRDefault="003C5F4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D46" w:rsidRDefault="005C0D46">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E2" w:rsidRDefault="00DA24ED">
    <w:pPr>
      <w:ind w:left="0" w:hanging="2"/>
      <w:jc w:val="center"/>
      <w:rPr>
        <w:sz w:val="24"/>
        <w:szCs w:val="24"/>
      </w:rPr>
    </w:pPr>
    <w:r>
      <w:rPr>
        <w:noProof/>
      </w:rPr>
      <w:drawing>
        <wp:anchor distT="0" distB="0" distL="0" distR="0" simplePos="0" relativeHeight="251658240" behindDoc="1" locked="0" layoutInCell="1" hidden="0" allowOverlap="1">
          <wp:simplePos x="0" y="0"/>
          <wp:positionH relativeFrom="column">
            <wp:posOffset>-1057274</wp:posOffset>
          </wp:positionH>
          <wp:positionV relativeFrom="paragraph">
            <wp:posOffset>-447116</wp:posOffset>
          </wp:positionV>
          <wp:extent cx="7561580" cy="971550"/>
          <wp:effectExtent l="0" t="0" r="0" b="0"/>
          <wp:wrapNone/>
          <wp:docPr id="10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b="90914"/>
                  <a:stretch>
                    <a:fillRect/>
                  </a:stretch>
                </pic:blipFill>
                <pic:spPr>
                  <a:xfrm>
                    <a:off x="0" y="0"/>
                    <a:ext cx="7561580" cy="971550"/>
                  </a:xfrm>
                  <a:prstGeom prst="rect">
                    <a:avLst/>
                  </a:prstGeom>
                  <a:ln/>
                </pic:spPr>
              </pic:pic>
            </a:graphicData>
          </a:graphic>
        </wp:anchor>
      </w:drawing>
    </w:r>
  </w:p>
  <w:p w:rsidR="00F54BE2" w:rsidRDefault="00F54BE2">
    <w:pPr>
      <w:ind w:left="0" w:hanging="2"/>
      <w:jc w:val="center"/>
      <w:rPr>
        <w:sz w:val="24"/>
        <w:szCs w:val="24"/>
      </w:rPr>
    </w:pPr>
  </w:p>
  <w:p w:rsidR="00F54BE2" w:rsidRDefault="00F54BE2">
    <w:pPr>
      <w:ind w:left="0" w:hanging="2"/>
      <w:rPr>
        <w:sz w:val="24"/>
        <w:szCs w:val="24"/>
      </w:rPr>
    </w:pPr>
  </w:p>
  <w:p w:rsidR="00F54BE2" w:rsidRDefault="00DA24ED">
    <w:pPr>
      <w:ind w:left="1" w:hanging="3"/>
      <w:jc w:val="center"/>
      <w:rPr>
        <w:sz w:val="28"/>
        <w:szCs w:val="28"/>
      </w:rPr>
    </w:pPr>
    <w:r>
      <w:rPr>
        <w:b/>
        <w:sz w:val="28"/>
        <w:szCs w:val="28"/>
      </w:rPr>
      <w:t xml:space="preserve">RESOLUCIÓN </w:t>
    </w:r>
    <w:proofErr w:type="spellStart"/>
    <w:r>
      <w:rPr>
        <w:b/>
        <w:sz w:val="28"/>
        <w:szCs w:val="28"/>
      </w:rPr>
      <w:t>N</w:t>
    </w:r>
    <w:proofErr w:type="gramStart"/>
    <w:r>
      <w:rPr>
        <w:b/>
        <w:sz w:val="28"/>
        <w:szCs w:val="28"/>
      </w:rPr>
      <w:t>°</w:t>
    </w:r>
    <w:proofErr w:type="spellEnd"/>
    <w:r>
      <w:rPr>
        <w:b/>
        <w:sz w:val="28"/>
        <w:szCs w:val="28"/>
      </w:rPr>
      <w:t xml:space="preserve"> .</w:t>
    </w:r>
    <w:proofErr w:type="gramEnd"/>
    <w:r>
      <w:rPr>
        <w:b/>
        <w:sz w:val="28"/>
        <w:szCs w:val="28"/>
      </w:rPr>
      <w:t>-</w:t>
    </w:r>
  </w:p>
  <w:p w:rsidR="00F54BE2" w:rsidRDefault="00F54BE2">
    <w:pPr>
      <w:ind w:left="0" w:hanging="2"/>
      <w:jc w:val="center"/>
    </w:pPr>
  </w:p>
  <w:p w:rsidR="00F54BE2" w:rsidRDefault="005C0D46">
    <w:pPr>
      <w:pBdr>
        <w:top w:val="nil"/>
        <w:left w:val="nil"/>
        <w:bottom w:val="nil"/>
        <w:right w:val="nil"/>
        <w:between w:val="nil"/>
      </w:pBdr>
      <w:spacing w:line="240" w:lineRule="auto"/>
      <w:ind w:left="0" w:hanging="2"/>
      <w:jc w:val="both"/>
      <w:rPr>
        <w:b/>
        <w:color w:val="000000"/>
        <w:sz w:val="24"/>
        <w:szCs w:val="24"/>
      </w:rPr>
    </w:pPr>
    <w:r w:rsidRPr="005C0D46">
      <w:rPr>
        <w:color w:val="000000"/>
        <w:sz w:val="24"/>
        <w:szCs w:val="24"/>
      </w:rPr>
      <w:t>“</w:t>
    </w:r>
    <w:bookmarkStart w:id="2" w:name="_Hlk132353221"/>
    <w:r w:rsidRPr="005C0D46">
      <w:rPr>
        <w:color w:val="000000"/>
        <w:sz w:val="24"/>
        <w:szCs w:val="24"/>
      </w:rPr>
      <w:t>PROCEDIMIENTO</w:t>
    </w:r>
    <w:r w:rsidR="00DA24ED" w:rsidRPr="005C0D46">
      <w:rPr>
        <w:color w:val="000000"/>
        <w:sz w:val="24"/>
        <w:szCs w:val="24"/>
      </w:rPr>
      <w:t xml:space="preserve"> POR</w:t>
    </w:r>
    <w:r w:rsidR="00DA24ED">
      <w:rPr>
        <w:color w:val="000000"/>
        <w:sz w:val="24"/>
        <w:szCs w:val="24"/>
      </w:rPr>
      <w:t xml:space="preserve"> LA CUAL SE DISPONE LA </w:t>
    </w:r>
    <w:r w:rsidR="00DA24ED">
      <w:rPr>
        <w:sz w:val="24"/>
        <w:szCs w:val="24"/>
      </w:rPr>
      <w:t>IMPLEMENTACIÓN Y SEGUIMIENTO</w:t>
    </w:r>
    <w:r w:rsidR="00DA24ED">
      <w:rPr>
        <w:color w:val="000000"/>
        <w:sz w:val="24"/>
        <w:szCs w:val="24"/>
      </w:rPr>
      <w:t xml:space="preserve"> DEL PLAN DE MANEJO PARA ENTREGA, </w:t>
    </w:r>
    <w:r w:rsidR="00DA24ED">
      <w:rPr>
        <w:sz w:val="24"/>
        <w:szCs w:val="24"/>
      </w:rPr>
      <w:t>RECOLECCIÓN</w:t>
    </w:r>
    <w:r w:rsidR="00DA24ED">
      <w:rPr>
        <w:color w:val="000000"/>
        <w:sz w:val="24"/>
        <w:szCs w:val="24"/>
      </w:rPr>
      <w:t>, TRANSPORTE, RECEPCIÓN Y TRATAMIENTO DE ENVASES VACÍOS Y EMBALAJES DE INSUMOS AGRÍCOLAS A LAS ENTIDADES RECICLADORAS”.</w:t>
    </w:r>
    <w:bookmarkEnd w:id="2"/>
  </w:p>
  <w:p w:rsidR="00F54BE2" w:rsidRDefault="00DA24ED">
    <w:pPr>
      <w:ind w:left="0" w:hanging="2"/>
      <w:jc w:val="center"/>
      <w:rPr>
        <w:sz w:val="24"/>
        <w:szCs w:val="24"/>
      </w:rPr>
    </w:pPr>
    <w:r>
      <w:rPr>
        <w:b/>
        <w:sz w:val="24"/>
        <w:szCs w:val="24"/>
      </w:rPr>
      <w:t>-</w:t>
    </w:r>
    <w:r>
      <w:rPr>
        <w:b/>
        <w:sz w:val="24"/>
        <w:szCs w:val="24"/>
      </w:rPr>
      <w:fldChar w:fldCharType="begin"/>
    </w:r>
    <w:r>
      <w:rPr>
        <w:b/>
        <w:sz w:val="24"/>
        <w:szCs w:val="24"/>
      </w:rPr>
      <w:instrText>PAGE</w:instrText>
    </w:r>
    <w:r>
      <w:rPr>
        <w:b/>
        <w:sz w:val="24"/>
        <w:szCs w:val="24"/>
      </w:rPr>
      <w:fldChar w:fldCharType="separate"/>
    </w:r>
    <w:r w:rsidR="00E56675">
      <w:rPr>
        <w:b/>
        <w:noProof/>
        <w:sz w:val="24"/>
        <w:szCs w:val="24"/>
      </w:rPr>
      <w:t>1</w:t>
    </w:r>
    <w:r>
      <w:rPr>
        <w:b/>
        <w:sz w:val="24"/>
        <w:szCs w:val="24"/>
      </w:rPr>
      <w:fldChar w:fldCharType="end"/>
    </w:r>
    <w:r>
      <w:rPr>
        <w:b/>
        <w:sz w:val="24"/>
        <w:szCs w:val="24"/>
      </w:rPr>
      <w:t>-</w:t>
    </w:r>
  </w:p>
  <w:p w:rsidR="00F54BE2" w:rsidRDefault="00F54BE2">
    <w:pPr>
      <w:ind w:left="0" w:hanging="2"/>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E2" w:rsidRDefault="00DA24ED">
    <w:pPr>
      <w:pBdr>
        <w:top w:val="nil"/>
        <w:left w:val="nil"/>
        <w:bottom w:val="nil"/>
        <w:right w:val="nil"/>
        <w:between w:val="nil"/>
      </w:pBdr>
      <w:tabs>
        <w:tab w:val="center" w:pos="4252"/>
        <w:tab w:val="right" w:pos="8504"/>
      </w:tabs>
      <w:spacing w:line="240" w:lineRule="auto"/>
      <w:ind w:left="0" w:hanging="2"/>
      <w:rPr>
        <w:color w:val="000000"/>
      </w:rPr>
    </w:pPr>
    <w:r>
      <w:rPr>
        <w:noProof/>
        <w:color w:val="000000"/>
      </w:rPr>
      <w:drawing>
        <wp:inline distT="0" distB="0" distL="114300" distR="114300">
          <wp:extent cx="799465" cy="751205"/>
          <wp:effectExtent l="0" t="0" r="0" b="0"/>
          <wp:docPr id="10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99465" cy="751205"/>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1930400</wp:posOffset>
              </wp:positionH>
              <wp:positionV relativeFrom="paragraph">
                <wp:posOffset>0</wp:posOffset>
              </wp:positionV>
              <wp:extent cx="1609725" cy="268605"/>
              <wp:effectExtent l="0" t="0" r="0" b="0"/>
              <wp:wrapTopAndBottom distT="0" distB="0"/>
              <wp:docPr id="1027" name="Rectángulo 1027"/>
              <wp:cNvGraphicFramePr/>
              <a:graphic xmlns:a="http://schemas.openxmlformats.org/drawingml/2006/main">
                <a:graphicData uri="http://schemas.microsoft.com/office/word/2010/wordprocessingShape">
                  <wps:wsp>
                    <wps:cNvSpPr/>
                    <wps:spPr>
                      <a:xfrm>
                        <a:off x="4545900" y="3650460"/>
                        <a:ext cx="1600200" cy="259080"/>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F54BE2" w:rsidRDefault="00F54BE2">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1930400</wp:posOffset>
              </wp:positionH>
              <wp:positionV relativeFrom="paragraph">
                <wp:posOffset>0</wp:posOffset>
              </wp:positionV>
              <wp:extent cx="1609725" cy="268605"/>
              <wp:effectExtent b="0" l="0" r="0" t="0"/>
              <wp:wrapTopAndBottom distB="0" distT="0"/>
              <wp:docPr id="102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609725" cy="26860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1016000</wp:posOffset>
              </wp:positionH>
              <wp:positionV relativeFrom="paragraph">
                <wp:posOffset>457200</wp:posOffset>
              </wp:positionV>
              <wp:extent cx="3667125" cy="238125"/>
              <wp:effectExtent l="0" t="0" r="0" b="0"/>
              <wp:wrapTopAndBottom distT="0" distB="0"/>
              <wp:docPr id="1026" name="Rectángulo 1026"/>
              <wp:cNvGraphicFramePr/>
              <a:graphic xmlns:a="http://schemas.openxmlformats.org/drawingml/2006/main">
                <a:graphicData uri="http://schemas.microsoft.com/office/word/2010/wordprocessingShape">
                  <wps:wsp>
                    <wps:cNvSpPr/>
                    <wps:spPr>
                      <a:xfrm>
                        <a:off x="3517200" y="3665700"/>
                        <a:ext cx="3657600" cy="228600"/>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F54BE2" w:rsidRDefault="00F54BE2">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1016000</wp:posOffset>
              </wp:positionH>
              <wp:positionV relativeFrom="paragraph">
                <wp:posOffset>457200</wp:posOffset>
              </wp:positionV>
              <wp:extent cx="3667125" cy="238125"/>
              <wp:effectExtent b="0" l="0" r="0" t="0"/>
              <wp:wrapTopAndBottom distB="0" distT="0"/>
              <wp:docPr id="1026"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667125" cy="238125"/>
                      </a:xfrm>
                      <a:prstGeom prst="rect"/>
                      <a:ln/>
                    </pic:spPr>
                  </pic:pic>
                </a:graphicData>
              </a:graphic>
            </wp:anchor>
          </w:drawing>
        </mc:Fallback>
      </mc:AlternateContent>
    </w:r>
    <w:r>
      <w:rPr>
        <w:noProof/>
      </w:rPr>
      <w:drawing>
        <wp:anchor distT="0" distB="0" distL="114300" distR="114300" simplePos="0" relativeHeight="251661312" behindDoc="0" locked="0" layoutInCell="1" hidden="0" allowOverlap="1">
          <wp:simplePos x="0" y="0"/>
          <wp:positionH relativeFrom="column">
            <wp:posOffset>4638040</wp:posOffset>
          </wp:positionH>
          <wp:positionV relativeFrom="paragraph">
            <wp:posOffset>-3809</wp:posOffset>
          </wp:positionV>
          <wp:extent cx="762635" cy="738505"/>
          <wp:effectExtent l="0" t="0" r="0" b="0"/>
          <wp:wrapSquare wrapText="bothSides" distT="0" distB="0" distL="114300" distR="114300"/>
          <wp:docPr id="1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62635" cy="738505"/>
                  </a:xfrm>
                  <a:prstGeom prst="rect">
                    <a:avLst/>
                  </a:prstGeom>
                  <a:ln/>
                </pic:spPr>
              </pic:pic>
            </a:graphicData>
          </a:graphic>
        </wp:anchor>
      </w:drawing>
    </w:r>
  </w:p>
  <w:p w:rsidR="00F54BE2" w:rsidRDefault="00DA24ED">
    <w:pPr>
      <w:ind w:left="0" w:hanging="2"/>
      <w:jc w:val="cent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BE2"/>
    <w:rsid w:val="003C5F45"/>
    <w:rsid w:val="005C0D46"/>
    <w:rsid w:val="00617587"/>
    <w:rsid w:val="00901D7D"/>
    <w:rsid w:val="009766A3"/>
    <w:rsid w:val="009E0A49"/>
    <w:rsid w:val="00DA24ED"/>
    <w:rsid w:val="00E56675"/>
    <w:rsid w:val="00F54B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6AA0D7A-D42C-40AC-847E-C357DB5E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PY"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s-ES"/>
    </w:rPr>
  </w:style>
  <w:style w:type="paragraph" w:styleId="Ttulo1">
    <w:name w:val="heading 1"/>
    <w:basedOn w:val="Normal"/>
    <w:next w:val="Normal"/>
    <w:uiPriority w:val="9"/>
    <w:qFormat/>
    <w:pPr>
      <w:keepNext/>
      <w:jc w:val="center"/>
    </w:pPr>
    <w:rPr>
      <w:b/>
      <w:sz w:val="24"/>
      <w:szCs w:val="24"/>
    </w:rPr>
  </w:style>
  <w:style w:type="paragraph" w:styleId="Ttulo2">
    <w:name w:val="heading 2"/>
    <w:basedOn w:val="Normal"/>
    <w:next w:val="Normal"/>
    <w:uiPriority w:val="9"/>
    <w:semiHidden/>
    <w:unhideWhenUsed/>
    <w:qFormat/>
    <w:pPr>
      <w:keepNext/>
      <w:ind w:left="5400" w:hanging="5400"/>
      <w:outlineLvl w:val="1"/>
    </w:pPr>
    <w:rPr>
      <w:sz w:val="24"/>
      <w:szCs w:val="24"/>
    </w:rPr>
  </w:style>
  <w:style w:type="paragraph" w:styleId="Ttulo3">
    <w:name w:val="heading 3"/>
    <w:basedOn w:val="Normal"/>
    <w:next w:val="Normal"/>
    <w:uiPriority w:val="9"/>
    <w:semiHidden/>
    <w:unhideWhenUsed/>
    <w:qFormat/>
    <w:pPr>
      <w:keepNext/>
      <w:outlineLvl w:val="2"/>
    </w:pPr>
    <w:rPr>
      <w:b/>
      <w:bCs/>
      <w:sz w:val="24"/>
    </w:rPr>
  </w:style>
  <w:style w:type="paragraph" w:styleId="Ttulo4">
    <w:name w:val="heading 4"/>
    <w:basedOn w:val="Normal"/>
    <w:next w:val="Normal"/>
    <w:uiPriority w:val="9"/>
    <w:semiHidden/>
    <w:unhideWhenUsed/>
    <w:qFormat/>
    <w:pPr>
      <w:keepNext/>
      <w:spacing w:before="240" w:after="60"/>
      <w:outlineLvl w:val="3"/>
    </w:pPr>
    <w:rPr>
      <w:rFonts w:ascii="Calibri" w:hAnsi="Calibri"/>
      <w:b/>
      <w:bCs/>
      <w:sz w:val="28"/>
      <w:szCs w:val="28"/>
    </w:rPr>
  </w:style>
  <w:style w:type="paragraph" w:styleId="Ttulo5">
    <w:name w:val="heading 5"/>
    <w:basedOn w:val="Normal"/>
    <w:next w:val="Normal"/>
    <w:uiPriority w:val="9"/>
    <w:semiHidden/>
    <w:unhideWhenUsed/>
    <w:qFormat/>
    <w:pPr>
      <w:spacing w:before="240" w:after="60"/>
      <w:outlineLvl w:val="4"/>
    </w:pPr>
    <w:rPr>
      <w:b/>
      <w:bCs/>
      <w:i/>
      <w:iCs/>
      <w:sz w:val="26"/>
      <w:szCs w:val="26"/>
      <w:lang w:val="es-PY" w:eastAsia="en-US"/>
    </w:rPr>
  </w:style>
  <w:style w:type="paragraph" w:styleId="Ttulo6">
    <w:name w:val="heading 6"/>
    <w:basedOn w:val="Normal"/>
    <w:next w:val="Normal"/>
    <w:uiPriority w:val="9"/>
    <w:semiHidden/>
    <w:unhideWhenUsed/>
    <w:qFormat/>
    <w:pPr>
      <w:keepNext/>
      <w:keepLines/>
      <w:spacing w:before="200" w:after="40"/>
      <w:outlineLvl w:val="5"/>
    </w:pPr>
    <w:rPr>
      <w:b/>
    </w:rPr>
  </w:style>
  <w:style w:type="paragraph" w:styleId="Ttulo9">
    <w:name w:val="heading 9"/>
    <w:basedOn w:val="Normal"/>
    <w:next w:val="Normal"/>
    <w:pPr>
      <w:spacing w:before="240" w:after="60" w:line="276" w:lineRule="auto"/>
      <w:outlineLvl w:val="8"/>
    </w:pPr>
    <w:rPr>
      <w:rFonts w:ascii="Arial" w:eastAsia="Calibri" w:hAnsi="Arial"/>
      <w:sz w:val="22"/>
      <w:szCs w:val="22"/>
      <w:lang w:val="es-P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jc w:val="center"/>
    </w:pPr>
    <w:rPr>
      <w:sz w:val="24"/>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Encabezado">
    <w:name w:val="header"/>
    <w:basedOn w:val="Normal"/>
    <w:pPr>
      <w:tabs>
        <w:tab w:val="center" w:pos="4252"/>
        <w:tab w:val="right" w:pos="8504"/>
      </w:tabs>
    </w:pPr>
  </w:style>
  <w:style w:type="paragraph" w:styleId="Textoindependiente">
    <w:name w:val="Body Text"/>
    <w:basedOn w:val="Normal"/>
    <w:pPr>
      <w:jc w:val="both"/>
    </w:pPr>
    <w:rPr>
      <w:rFonts w:ascii="Arial" w:hAnsi="Arial"/>
      <w:b/>
      <w:bCs/>
      <w:sz w:val="22"/>
      <w:lang w:val="es-MX"/>
    </w:rPr>
  </w:style>
  <w:style w:type="paragraph" w:styleId="Textoindependiente2">
    <w:name w:val="Body Text 2"/>
    <w:basedOn w:val="Normal"/>
    <w:pPr>
      <w:jc w:val="both"/>
    </w:pPr>
    <w:rPr>
      <w:rFonts w:ascii="Arial" w:hAnsi="Arial"/>
      <w:sz w:val="22"/>
      <w:lang w:val="es-MX"/>
    </w:rPr>
  </w:style>
  <w:style w:type="paragraph" w:styleId="Sangradetextonormal">
    <w:name w:val="Body Text Indent"/>
    <w:basedOn w:val="Normal"/>
    <w:pPr>
      <w:ind w:left="3960"/>
      <w:jc w:val="center"/>
    </w:pPr>
    <w:rPr>
      <w:b/>
      <w:bCs/>
      <w:sz w:val="24"/>
      <w:szCs w:val="24"/>
    </w:rPr>
  </w:style>
  <w:style w:type="paragraph" w:styleId="Textodeglobo">
    <w:name w:val="Balloon Text"/>
    <w:basedOn w:val="Normal"/>
    <w:rPr>
      <w:rFonts w:ascii="Tahoma" w:hAnsi="Tahoma" w:cs="Tahoma"/>
      <w:sz w:val="16"/>
      <w:szCs w:val="16"/>
    </w:rPr>
  </w:style>
  <w:style w:type="character" w:customStyle="1" w:styleId="TtuloCar">
    <w:name w:val="Título Car"/>
    <w:rPr>
      <w:w w:val="100"/>
      <w:position w:val="-1"/>
      <w:sz w:val="24"/>
      <w:effect w:val="none"/>
      <w:vertAlign w:val="baseline"/>
      <w:cs w:val="0"/>
      <w:em w:val="none"/>
      <w:lang w:val="es-ES"/>
    </w:rPr>
  </w:style>
  <w:style w:type="character" w:customStyle="1" w:styleId="EncabezadoCar">
    <w:name w:val="Encabezado Car"/>
    <w:basedOn w:val="Fuentedeprrafopredeter"/>
    <w:rPr>
      <w:w w:val="100"/>
      <w:position w:val="-1"/>
      <w:effect w:val="none"/>
      <w:vertAlign w:val="baseline"/>
      <w:cs w:val="0"/>
      <w:em w:val="none"/>
    </w:rPr>
  </w:style>
  <w:style w:type="character" w:customStyle="1" w:styleId="SangradetextonormalCar">
    <w:name w:val="Sangría de texto normal Car"/>
    <w:rPr>
      <w:b/>
      <w:bCs/>
      <w:w w:val="100"/>
      <w:position w:val="-1"/>
      <w:sz w:val="24"/>
      <w:szCs w:val="24"/>
      <w:effect w:val="none"/>
      <w:vertAlign w:val="baseline"/>
      <w:cs w:val="0"/>
      <w:em w:val="none"/>
    </w:rPr>
  </w:style>
  <w:style w:type="paragraph" w:styleId="Sangra3detindependiente">
    <w:name w:val="Body Text Indent 3"/>
    <w:basedOn w:val="Normal"/>
    <w:pPr>
      <w:spacing w:after="120"/>
      <w:ind w:left="283"/>
    </w:pPr>
    <w:rPr>
      <w:sz w:val="16"/>
      <w:szCs w:val="16"/>
      <w:lang w:val="es-PY" w:eastAsia="en-US"/>
    </w:rPr>
  </w:style>
  <w:style w:type="character" w:customStyle="1" w:styleId="Sangra3detindependienteCar">
    <w:name w:val="Sangría 3 de t. independiente Car"/>
    <w:rPr>
      <w:w w:val="100"/>
      <w:position w:val="-1"/>
      <w:sz w:val="16"/>
      <w:szCs w:val="16"/>
      <w:effect w:val="none"/>
      <w:vertAlign w:val="baseline"/>
      <w:cs w:val="0"/>
      <w:em w:val="none"/>
      <w:lang w:val="es-PY" w:eastAsia="en-US"/>
    </w:rPr>
  </w:style>
  <w:style w:type="character" w:customStyle="1" w:styleId="PiedepginaCar">
    <w:name w:val="Pie de página Car"/>
    <w:rPr>
      <w:w w:val="100"/>
      <w:position w:val="-1"/>
      <w:effect w:val="none"/>
      <w:vertAlign w:val="baseline"/>
      <w:cs w:val="0"/>
      <w:em w:val="none"/>
      <w:lang w:val="es-ES" w:eastAsia="es-ES"/>
    </w:rPr>
  </w:style>
  <w:style w:type="paragraph" w:styleId="Sinespaciado">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es-ES"/>
    </w:rPr>
  </w:style>
  <w:style w:type="character" w:customStyle="1" w:styleId="TextoindependienteCar">
    <w:name w:val="Texto independiente Car"/>
    <w:rPr>
      <w:rFonts w:ascii="Arial" w:hAnsi="Arial"/>
      <w:b/>
      <w:bCs/>
      <w:w w:val="100"/>
      <w:position w:val="-1"/>
      <w:sz w:val="22"/>
      <w:effect w:val="none"/>
      <w:vertAlign w:val="baseline"/>
      <w:cs w:val="0"/>
      <w:em w:val="none"/>
      <w:lang w:val="es-MX" w:eastAsia="es-ES"/>
    </w:rPr>
  </w:style>
  <w:style w:type="paragraph" w:styleId="Sangra2detindependiente">
    <w:name w:val="Body Text Indent 2"/>
    <w:basedOn w:val="Normal"/>
    <w:pPr>
      <w:spacing w:after="120" w:line="480" w:lineRule="auto"/>
      <w:ind w:left="283"/>
    </w:pPr>
  </w:style>
  <w:style w:type="character" w:customStyle="1" w:styleId="Sangra2detindependienteCar">
    <w:name w:val="Sangría 2 de t. independiente Car"/>
    <w:rPr>
      <w:w w:val="100"/>
      <w:position w:val="-1"/>
      <w:effect w:val="none"/>
      <w:vertAlign w:val="baseline"/>
      <w:cs w:val="0"/>
      <w:em w:val="none"/>
      <w:lang w:val="es-ES" w:eastAsia="es-ES"/>
    </w:rPr>
  </w:style>
  <w:style w:type="paragraph" w:styleId="Prrafodelista">
    <w:name w:val="List Paragraph"/>
    <w:basedOn w:val="Normal"/>
    <w:pPr>
      <w:ind w:left="708"/>
    </w:pPr>
  </w:style>
  <w:style w:type="character" w:customStyle="1" w:styleId="Ttulo4Car">
    <w:name w:val="Título 4 Car"/>
    <w:rPr>
      <w:rFonts w:ascii="Calibri" w:eastAsia="Times New Roman" w:hAnsi="Calibri" w:cs="Times New Roman"/>
      <w:b/>
      <w:bCs/>
      <w:w w:val="100"/>
      <w:position w:val="-1"/>
      <w:sz w:val="28"/>
      <w:szCs w:val="28"/>
      <w:effect w:val="none"/>
      <w:vertAlign w:val="baseline"/>
      <w:cs w:val="0"/>
      <w:em w:val="none"/>
      <w:lang w:val="es-ES" w:eastAsia="es-ES"/>
    </w:rPr>
  </w:style>
  <w:style w:type="character" w:customStyle="1" w:styleId="Ttulo9Car">
    <w:name w:val="Título 9 Car"/>
    <w:rPr>
      <w:rFonts w:ascii="Arial" w:eastAsia="Calibri" w:hAnsi="Arial"/>
      <w:w w:val="100"/>
      <w:position w:val="-1"/>
      <w:sz w:val="22"/>
      <w:szCs w:val="22"/>
      <w:effect w:val="none"/>
      <w:vertAlign w:val="baseline"/>
      <w:cs w:val="0"/>
      <w:em w:val="none"/>
      <w:lang w:eastAsia="en-US"/>
    </w:rPr>
  </w:style>
  <w:style w:type="character" w:customStyle="1" w:styleId="Ttulo1Car">
    <w:name w:val="Título 1 Car"/>
    <w:rPr>
      <w:b/>
      <w:w w:val="100"/>
      <w:position w:val="-1"/>
      <w:sz w:val="24"/>
      <w:szCs w:val="24"/>
      <w:effect w:val="none"/>
      <w:vertAlign w:val="baseline"/>
      <w:cs w:val="0"/>
      <w:em w:val="none"/>
      <w:lang w:val="es-ES" w:eastAsia="es-ES"/>
    </w:rPr>
  </w:style>
  <w:style w:type="character" w:styleId="Textoennegrita">
    <w:name w:val="Strong"/>
    <w:rPr>
      <w:b/>
      <w:bCs/>
      <w:w w:val="100"/>
      <w:position w:val="-1"/>
      <w:effect w:val="none"/>
      <w:vertAlign w:val="baseline"/>
      <w:cs w:val="0"/>
      <w:em w:val="none"/>
    </w:rPr>
  </w:style>
  <w:style w:type="paragraph" w:customStyle="1" w:styleId="BodyText21">
    <w:name w:val="Body Text 21"/>
    <w:basedOn w:val="Normal"/>
    <w:pPr>
      <w:widowControl w:val="0"/>
      <w:ind w:left="709" w:hanging="709"/>
      <w:jc w:val="both"/>
    </w:pPr>
    <w:rPr>
      <w:rFonts w:ascii="Arial" w:hAnsi="Arial"/>
      <w:snapToGrid w:val="0"/>
      <w:sz w:val="24"/>
    </w:rPr>
  </w:style>
  <w:style w:type="character" w:customStyle="1" w:styleId="CarCar4">
    <w:name w:val="Car Car4"/>
    <w:rPr>
      <w:rFonts w:ascii="Times New Roman" w:hAnsi="Times New Roman" w:cs="Times New Roman"/>
      <w:w w:val="100"/>
      <w:position w:val="-1"/>
      <w:sz w:val="20"/>
      <w:szCs w:val="20"/>
      <w:effect w:val="none"/>
      <w:vertAlign w:val="baseline"/>
      <w:cs w:val="0"/>
      <w:em w:val="none"/>
      <w:lang w:eastAsia="es-ES"/>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rFonts w:ascii="Calibri" w:eastAsia="Calibri" w:hAnsi="Calibri"/>
      <w:position w:val="-1"/>
      <w:sz w:val="21"/>
      <w:szCs w:val="21"/>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rPr>
      <w:w w:val="100"/>
      <w:position w:val="-1"/>
      <w:effect w:val="none"/>
      <w:vertAlign w:val="baseline"/>
      <w:cs w:val="0"/>
      <w:em w:val="none"/>
      <w:lang w:val="es-ES" w:eastAsia="es-ES"/>
    </w:rPr>
  </w:style>
  <w:style w:type="table" w:customStyle="1" w:styleId="TableNormal0">
    <w:name w:val="Table Normal"/>
    <w:next w:val="TableNormal"/>
    <w:qFormat/>
    <w:pPr>
      <w:widowControl w:val="0"/>
      <w:suppressAutoHyphens/>
      <w:autoSpaceDE w:val="0"/>
      <w:autoSpaceDN w:val="0"/>
      <w:spacing w:line="1" w:lineRule="atLeast"/>
      <w:ind w:leftChars="-1" w:left="-1" w:hangingChars="1" w:hanging="1"/>
      <w:textDirection w:val="btLr"/>
      <w:textAlignment w:val="top"/>
      <w:outlineLvl w:val="0"/>
    </w:pPr>
    <w:rPr>
      <w:rFonts w:ascii="Calibri" w:hAnsi="Calibri"/>
      <w:position w:val="-1"/>
      <w:sz w:val="21"/>
      <w:szCs w:val="21"/>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spacing w:after="200"/>
    </w:pPr>
    <w:rPr>
      <w:rFonts w:ascii="Arial" w:eastAsia="Arial" w:hAnsi="Arial" w:cs="Arial"/>
      <w:sz w:val="21"/>
      <w:szCs w:val="21"/>
      <w:lang w:val="en-US" w:eastAsia="en-US"/>
    </w:rPr>
  </w:style>
  <w:style w:type="paragraph" w:styleId="NormalWeb">
    <w:name w:val="Normal (Web)"/>
    <w:basedOn w:val="Normal"/>
    <w:qFormat/>
    <w:pPr>
      <w:spacing w:after="200" w:line="288" w:lineRule="auto"/>
    </w:pPr>
    <w:rPr>
      <w:sz w:val="24"/>
      <w:szCs w:val="24"/>
      <w:lang w:val="es-PY" w:eastAsia="en-US"/>
    </w:rPr>
  </w:style>
  <w:style w:type="table" w:customStyle="1" w:styleId="Tablaconcuadrcula1">
    <w:name w:val="Tabla con cuadrícula1"/>
    <w:basedOn w:val="Tablanormal"/>
    <w:next w:val="Tablaconcuadrcula"/>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pPr>
      <w:suppressAutoHyphens/>
      <w:spacing w:line="1" w:lineRule="atLeast"/>
      <w:ind w:leftChars="-1" w:left="-1" w:hangingChars="1" w:hanging="1"/>
      <w:textDirection w:val="btLr"/>
      <w:textAlignment w:val="top"/>
      <w:outlineLvl w:val="0"/>
    </w:pPr>
    <w:rPr>
      <w:position w:val="-1"/>
      <w:lang w:val="es-E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sz w:val="24"/>
      <w:szCs w:val="24"/>
      <w:lang w:val="es-ES"/>
    </w:rPr>
  </w:style>
  <w:style w:type="character" w:styleId="Hipervnculo">
    <w:name w:val="Hyperlink"/>
    <w:rPr>
      <w:color w:val="0563C1"/>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oeXr//ETw9Cy56mcBde0eMrFIw==">AMUW2mU3QBWq9uFJKTRtXI3AjGu2NiPG90YSnSmXm/wgZD98nh2QQsHtnFXmjuXK9oM3HyrfcwHEBQyMC0nNhXPqcFyCedqiVu7TyXKq9M+TjEex4ZqiJlI=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1863</Words>
  <Characters>10251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GENERAL</dc:creator>
  <cp:lastModifiedBy>Lenovo5424</cp:lastModifiedBy>
  <cp:revision>5</cp:revision>
  <cp:lastPrinted>2023-04-10T18:54:00Z</cp:lastPrinted>
  <dcterms:created xsi:type="dcterms:W3CDTF">2023-04-10T18:55:00Z</dcterms:created>
  <dcterms:modified xsi:type="dcterms:W3CDTF">2023-04-14T12:54:00Z</dcterms:modified>
</cp:coreProperties>
</file>