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58" w:rsidRDefault="00002058" w:rsidP="00002058">
      <w:pPr>
        <w:pStyle w:val="Sinespaciado"/>
        <w:contextualSpacing/>
        <w:rPr>
          <w:rFonts w:ascii="Times New Roman" w:hAnsi="Times New Roman"/>
          <w:b/>
          <w:sz w:val="24"/>
          <w:szCs w:val="24"/>
        </w:rPr>
      </w:pPr>
      <w:bookmarkStart w:id="0" w:name="_GoBack"/>
      <w:bookmarkEnd w:id="0"/>
    </w:p>
    <w:tbl>
      <w:tblPr>
        <w:tblStyle w:val="Tablaconcuadrcula"/>
        <w:tblW w:w="10768" w:type="dxa"/>
        <w:tblLook w:val="04A0" w:firstRow="1" w:lastRow="0" w:firstColumn="1" w:lastColumn="0" w:noHBand="0" w:noVBand="1"/>
      </w:tblPr>
      <w:tblGrid>
        <w:gridCol w:w="8350"/>
        <w:gridCol w:w="1284"/>
        <w:gridCol w:w="1134"/>
      </w:tblGrid>
      <w:tr w:rsidR="00656B8E" w:rsidRPr="00E11749" w:rsidTr="00656B8E">
        <w:tc>
          <w:tcPr>
            <w:tcW w:w="10768" w:type="dxa"/>
            <w:gridSpan w:val="3"/>
            <w:shd w:val="clear" w:color="auto" w:fill="D9D9D9" w:themeFill="background1" w:themeFillShade="D9"/>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656B8E" w:rsidRPr="00E11749" w:rsidTr="00656B8E">
        <w:tc>
          <w:tcPr>
            <w:tcW w:w="10768" w:type="dxa"/>
            <w:gridSpan w:val="3"/>
            <w:shd w:val="clear" w:color="auto" w:fill="D9D9D9" w:themeFill="background1" w:themeFillShade="D9"/>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656B8E" w:rsidRPr="009D263B" w:rsidTr="00656B8E">
        <w:tc>
          <w:tcPr>
            <w:tcW w:w="8350"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p>
        </w:tc>
        <w:tc>
          <w:tcPr>
            <w:tcW w:w="1284"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Archivo</w:t>
            </w:r>
          </w:p>
        </w:tc>
        <w:tc>
          <w:tcPr>
            <w:tcW w:w="1134"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1.Identidad:</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 Solicitante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1.2 Fabricante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1.3 Nombre común: aceptado por ISSO, o propuesto, en su orden, por BSI, ANSI, WSSA o el fabricante, hasta su aceptación o denominación por ISO. Indicar a </w:t>
            </w:r>
            <w:proofErr w:type="gramStart"/>
            <w:r w:rsidRPr="009D263B">
              <w:rPr>
                <w:rFonts w:ascii="Times New Roman" w:hAnsi="Times New Roman"/>
                <w:sz w:val="20"/>
                <w:szCs w:val="20"/>
              </w:rPr>
              <w:t>cual</w:t>
            </w:r>
            <w:proofErr w:type="gramEnd"/>
            <w:r w:rsidRPr="009D263B">
              <w:rPr>
                <w:rFonts w:ascii="Times New Roman" w:hAnsi="Times New Roman"/>
                <w:sz w:val="20"/>
                <w:szCs w:val="20"/>
              </w:rPr>
              <w:t xml:space="preserve"> corresponde.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1.4  Sinónimos</w:t>
            </w:r>
            <w:proofErr w:type="gramEnd"/>
            <w:r w:rsidRPr="009D263B">
              <w:rPr>
                <w:rFonts w:ascii="Times New Roman" w:hAnsi="Times New Roman"/>
                <w:sz w:val="20"/>
                <w:szCs w:val="20"/>
              </w:rPr>
              <w:t>: Si los hubiere.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1.5  Nombre</w:t>
            </w:r>
            <w:proofErr w:type="gramEnd"/>
            <w:r w:rsidRPr="009D263B">
              <w:rPr>
                <w:rFonts w:ascii="Times New Roman" w:hAnsi="Times New Roman"/>
                <w:sz w:val="20"/>
                <w:szCs w:val="20"/>
              </w:rPr>
              <w:t xml:space="preserve"> Químico: Aceptado o propuesto por IUPAC.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1.6  Número</w:t>
            </w:r>
            <w:proofErr w:type="gramEnd"/>
            <w:r w:rsidRPr="009D263B">
              <w:rPr>
                <w:rFonts w:ascii="Times New Roman" w:hAnsi="Times New Roman"/>
                <w:sz w:val="20"/>
                <w:szCs w:val="20"/>
              </w:rPr>
              <w:t xml:space="preserve"> de código experimental asignado por el fabricante (cuando corresponda).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1.7  Fórmula</w:t>
            </w:r>
            <w:proofErr w:type="gramEnd"/>
            <w:r w:rsidRPr="009D263B">
              <w:rPr>
                <w:rFonts w:ascii="Times New Roman" w:hAnsi="Times New Roman"/>
                <w:sz w:val="20"/>
                <w:szCs w:val="20"/>
              </w:rPr>
              <w:t xml:space="preserve"> empírica.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1.8  Fórmula</w:t>
            </w:r>
            <w:proofErr w:type="gramEnd"/>
            <w:r w:rsidRPr="009D263B">
              <w:rPr>
                <w:rFonts w:ascii="Times New Roman" w:hAnsi="Times New Roman"/>
                <w:sz w:val="20"/>
                <w:szCs w:val="20"/>
              </w:rPr>
              <w:t xml:space="preserve"> estructural.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1.9  Grupo</w:t>
            </w:r>
            <w:proofErr w:type="gramEnd"/>
            <w:r w:rsidRPr="009D263B">
              <w:rPr>
                <w:rFonts w:ascii="Times New Roman" w:hAnsi="Times New Roman"/>
                <w:sz w:val="20"/>
                <w:szCs w:val="20"/>
              </w:rPr>
              <w:t xml:space="preserve"> Químico: De acuerdo con la clasificación vigente IUPAC.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2.  PROPIEDADES FÍSICAS Y QUÍMICAS.</w:t>
            </w:r>
          </w:p>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  Aspecto</w:t>
            </w:r>
            <w:proofErr w:type="gramEnd"/>
            <w:r w:rsidRPr="009D263B">
              <w:rPr>
                <w:rFonts w:ascii="Times New Roman" w:hAnsi="Times New Roman"/>
                <w:sz w:val="20"/>
                <w:szCs w:val="20"/>
              </w:rPr>
              <w:t>:</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Estado Físico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2.1.2  Color</w:t>
            </w:r>
            <w:proofErr w:type="gramEnd"/>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2.1.3  Olor</w:t>
            </w:r>
            <w:proofErr w:type="gramEnd"/>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2.2  Punto</w:t>
            </w:r>
            <w:proofErr w:type="gramEnd"/>
            <w:r w:rsidRPr="009D263B">
              <w:rPr>
                <w:rFonts w:ascii="Times New Roman" w:hAnsi="Times New Roman"/>
                <w:sz w:val="20"/>
                <w:szCs w:val="20"/>
              </w:rPr>
              <w:t xml:space="preserve"> de Fusión (sólidos a temperatura ambiente): Es la temperatura a la cual una sustancia cambia su estado físico de sólido a líquido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2.3  Punto</w:t>
            </w:r>
            <w:proofErr w:type="gramEnd"/>
            <w:r w:rsidRPr="009D263B">
              <w:rPr>
                <w:rFonts w:ascii="Times New Roman" w:hAnsi="Times New Roman"/>
                <w:sz w:val="20"/>
                <w:szCs w:val="20"/>
              </w:rPr>
              <w:t xml:space="preserve"> de Ebullición: (Líquidas a temperatura ambiente) OECD 103</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2.4  Densidad</w:t>
            </w:r>
            <w:proofErr w:type="gramEnd"/>
            <w:r w:rsidRPr="009D263B">
              <w:rPr>
                <w:rFonts w:ascii="Times New Roman" w:hAnsi="Times New Roman"/>
                <w:sz w:val="20"/>
                <w:szCs w:val="20"/>
              </w:rPr>
              <w:t>: OECCD 109 CIPAC MT3/ MT 58.4</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Pr>
                <w:rFonts w:ascii="Times New Roman" w:hAnsi="Times New Roman"/>
                <w:sz w:val="20"/>
                <w:szCs w:val="20"/>
              </w:rPr>
              <w:t>2.5</w:t>
            </w:r>
            <w:r w:rsidRPr="009D263B">
              <w:rPr>
                <w:rFonts w:ascii="Times New Roman" w:hAnsi="Times New Roman"/>
                <w:sz w:val="20"/>
                <w:szCs w:val="20"/>
              </w:rPr>
              <w:t xml:space="preserve"> Presión de vapor: [Para sustancias con P.E. mayor o igual a TREINTA GRADOS CENTIGRADOS (30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La presión de vapor da idea de la transición de una sustancia de la fase liquida o sólida a la gaseosa. Constituye, junto con la solubilidad en agua, un auxiliar importante para evaluar la volatilidad de una sustancia presente en solución acuosa. Además, la presión de vapor es un factor significativo para pronosticar concentraciones atmosféricas de una sustancia dada. Los métodos propuestos por la bibliografía la determinan en diferentes rangos Resolución </w:t>
            </w:r>
            <w:proofErr w:type="spellStart"/>
            <w:r w:rsidRPr="009D263B">
              <w:rPr>
                <w:rFonts w:ascii="Times New Roman" w:hAnsi="Times New Roman"/>
                <w:sz w:val="20"/>
                <w:szCs w:val="20"/>
              </w:rPr>
              <w:t>Nº</w:t>
            </w:r>
            <w:proofErr w:type="spellEnd"/>
            <w:r w:rsidRPr="009D263B">
              <w:rPr>
                <w:rFonts w:ascii="Times New Roman" w:hAnsi="Times New Roman"/>
                <w:sz w:val="20"/>
                <w:szCs w:val="20"/>
              </w:rPr>
              <w:t xml:space="preserve"> 600/09: ANEXO “Requisitos para Registro Experimental”– 349 –y distintas temperaturas. Habrá que estudiar cada caso en particular, definir el método dinámico o estático, estudiar cada aparato propuesto (según el método) y la posibilidad de su implementación. Se la determina a 25 º C y en </w:t>
            </w:r>
            <w:proofErr w:type="spellStart"/>
            <w:r w:rsidRPr="009D263B">
              <w:rPr>
                <w:rFonts w:ascii="Times New Roman" w:hAnsi="Times New Roman"/>
                <w:sz w:val="20"/>
                <w:szCs w:val="20"/>
              </w:rPr>
              <w:t>mm.</w:t>
            </w:r>
            <w:proofErr w:type="spellEnd"/>
            <w:r w:rsidRPr="009D263B">
              <w:rPr>
                <w:rFonts w:ascii="Times New Roman" w:hAnsi="Times New Roman"/>
                <w:sz w:val="20"/>
                <w:szCs w:val="20"/>
              </w:rPr>
              <w:t xml:space="preserve"> Hg o Torr. OECD 104.</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2.6  Volatilidad</w:t>
            </w:r>
            <w:proofErr w:type="gramEnd"/>
            <w:r w:rsidRPr="009D263B">
              <w:rPr>
                <w:rFonts w:ascii="Times New Roman" w:hAnsi="Times New Roman"/>
                <w:sz w:val="20"/>
                <w:szCs w:val="20"/>
              </w:rPr>
              <w:t>: En virtud de la diversidad de factores que afectan su evaluación, se la asocia a la presión de vapor o a la constante de la ley de Henry.</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2.7  Solubilidad</w:t>
            </w:r>
            <w:proofErr w:type="gramEnd"/>
            <w:r w:rsidRPr="009D263B">
              <w:rPr>
                <w:rFonts w:ascii="Times New Roman" w:hAnsi="Times New Roman"/>
                <w:sz w:val="20"/>
                <w:szCs w:val="20"/>
              </w:rPr>
              <w:t xml:space="preserve"> en agua: OECD 105; CIPAC MT 157.1 y 157.2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lastRenderedPageBreak/>
              <w:t>2.8  Solubilidad</w:t>
            </w:r>
            <w:proofErr w:type="gramEnd"/>
            <w:r w:rsidRPr="009D263B">
              <w:rPr>
                <w:rFonts w:ascii="Times New Roman" w:hAnsi="Times New Roman"/>
                <w:sz w:val="20"/>
                <w:szCs w:val="20"/>
              </w:rPr>
              <w:t xml:space="preserve"> en solventes orgánicos: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2.9  Coeficiente</w:t>
            </w:r>
            <w:proofErr w:type="gramEnd"/>
            <w:r w:rsidRPr="009D263B">
              <w:rPr>
                <w:rFonts w:ascii="Times New Roman" w:hAnsi="Times New Roman"/>
                <w:sz w:val="20"/>
                <w:szCs w:val="20"/>
              </w:rPr>
              <w:t xml:space="preserve"> de partición en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/agua: (Si la sustancia activa es un compuesto orgánico, no polar y la solubilidad en agua sea mayor a UN (1) µg/ ml).</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El coeficiente de partición de una sustancia entre el agua y un solvente lipofílico como el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 es una variable que permite describir la transferencia de una sustancia del medio acuático a un organismo y consecuentemente, la potencial bioacumulación en el mismo. OECD 107, OECD 117, FIFRA 63-11.</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2.10  Estabilidad</w:t>
            </w:r>
            <w:proofErr w:type="gramEnd"/>
            <w:r w:rsidRPr="009D263B">
              <w:rPr>
                <w:rFonts w:ascii="Times New Roman" w:hAnsi="Times New Roman"/>
                <w:sz w:val="20"/>
                <w:szCs w:val="20"/>
              </w:rPr>
              <w:t xml:space="preserve"> en agua: Esto es “hidrólisis como función del pH”. La hidrólisis es una de las reacciones más comunes que controlan la degradación abiótica y es por lo tanto una de las principales causas de la degradación de sustancias en el ambiente. OECD 111</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w:t>
            </w:r>
            <w:proofErr w:type="gramStart"/>
            <w:r w:rsidRPr="009D263B">
              <w:rPr>
                <w:rFonts w:ascii="Times New Roman" w:hAnsi="Times New Roman"/>
                <w:sz w:val="20"/>
                <w:szCs w:val="20"/>
              </w:rPr>
              <w:t>11  Inflamabilidad</w:t>
            </w:r>
            <w:proofErr w:type="gramEnd"/>
            <w:r w:rsidRPr="009D263B">
              <w:rPr>
                <w:rFonts w:ascii="Times New Roman" w:hAnsi="Times New Roman"/>
                <w:sz w:val="20"/>
                <w:szCs w:val="20"/>
              </w:rPr>
              <w:t xml:space="preserve">: Es la temperatura mínima a la cual, en condiciones normalizadas, los vapores presentes en la superficie de un líquido se inflaman al </w:t>
            </w:r>
            <w:proofErr w:type="spellStart"/>
            <w:r w:rsidRPr="009D263B">
              <w:rPr>
                <w:rFonts w:ascii="Times New Roman" w:hAnsi="Times New Roman"/>
                <w:sz w:val="20"/>
                <w:szCs w:val="20"/>
              </w:rPr>
              <w:t>proximar</w:t>
            </w:r>
            <w:proofErr w:type="spellEnd"/>
            <w:r w:rsidRPr="009D263B">
              <w:rPr>
                <w:rFonts w:ascii="Times New Roman" w:hAnsi="Times New Roman"/>
                <w:sz w:val="20"/>
                <w:szCs w:val="20"/>
              </w:rPr>
              <w:t xml:space="preserve"> la llama de ensayo, sin que prosiga la </w:t>
            </w:r>
            <w:proofErr w:type="spellStart"/>
            <w:r w:rsidRPr="009D263B">
              <w:rPr>
                <w:rFonts w:ascii="Times New Roman" w:hAnsi="Times New Roman"/>
                <w:sz w:val="20"/>
                <w:szCs w:val="20"/>
              </w:rPr>
              <w:t>combustión.CIPAC</w:t>
            </w:r>
            <w:proofErr w:type="spellEnd"/>
            <w:r w:rsidRPr="009D263B">
              <w:rPr>
                <w:rFonts w:ascii="Times New Roman" w:hAnsi="Times New Roman"/>
                <w:sz w:val="20"/>
                <w:szCs w:val="20"/>
              </w:rPr>
              <w:t xml:space="preserve"> MT 12.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2.12  Tensión</w:t>
            </w:r>
            <w:proofErr w:type="gramEnd"/>
            <w:r w:rsidRPr="009D263B">
              <w:rPr>
                <w:rFonts w:ascii="Times New Roman" w:hAnsi="Times New Roman"/>
                <w:sz w:val="20"/>
                <w:szCs w:val="20"/>
              </w:rPr>
              <w:t xml:space="preserve"> superficial: OECD 115 EEC A5.</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2.13  Propiedades</w:t>
            </w:r>
            <w:proofErr w:type="gramEnd"/>
            <w:r w:rsidRPr="009D263B">
              <w:rPr>
                <w:rFonts w:ascii="Times New Roman" w:hAnsi="Times New Roman"/>
                <w:sz w:val="20"/>
                <w:szCs w:val="20"/>
              </w:rPr>
              <w:t xml:space="preserve"> explosivas: EEC A. 14; FIFRA 63-16 (</w:t>
            </w:r>
            <w:proofErr w:type="spellStart"/>
            <w:r w:rsidRPr="009D263B">
              <w:rPr>
                <w:rFonts w:ascii="Times New Roman" w:hAnsi="Times New Roman"/>
                <w:sz w:val="20"/>
                <w:szCs w:val="20"/>
              </w:rPr>
              <w:t>Termocalorimetría</w:t>
            </w:r>
            <w:proofErr w:type="spellEnd"/>
            <w:r w:rsidRPr="009D263B">
              <w:rPr>
                <w:rFonts w:ascii="Times New Roman" w:hAnsi="Times New Roman"/>
                <w:sz w:val="20"/>
                <w:szCs w:val="20"/>
              </w:rPr>
              <w:t xml:space="preserve"> diferencial).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2.14  Propiedades</w:t>
            </w:r>
            <w:proofErr w:type="gramEnd"/>
            <w:r w:rsidRPr="009D263B">
              <w:rPr>
                <w:rFonts w:ascii="Times New Roman" w:hAnsi="Times New Roman"/>
                <w:sz w:val="20"/>
                <w:szCs w:val="20"/>
              </w:rPr>
              <w:t xml:space="preserve"> oxidantes (corrosividad): EEC A17; FIFRA 63-20. Se efectuará con distintos materiales posibles de ser corroídos, por Ej.: cobre, hierro, latón, etc.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2.15  Reactividad</w:t>
            </w:r>
            <w:proofErr w:type="gramEnd"/>
            <w:r w:rsidRPr="009D263B">
              <w:rPr>
                <w:rFonts w:ascii="Times New Roman" w:hAnsi="Times New Roman"/>
                <w:sz w:val="20"/>
                <w:szCs w:val="20"/>
              </w:rPr>
              <w:t xml:space="preserve"> con el material del envase: FIFRA 63-20.</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2.16  pH</w:t>
            </w:r>
            <w:proofErr w:type="gramEnd"/>
            <w:r w:rsidRPr="009D263B">
              <w:rPr>
                <w:rFonts w:ascii="Times New Roman" w:hAnsi="Times New Roman"/>
                <w:sz w:val="20"/>
                <w:szCs w:val="20"/>
              </w:rPr>
              <w:t>: (Si la sustancia activa grado técnico es soluble o dispersable en agua): CIPAC MT 75;FIFRA 63</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2.17  Constante</w:t>
            </w:r>
            <w:proofErr w:type="gramEnd"/>
            <w:r w:rsidRPr="009D263B">
              <w:rPr>
                <w:rFonts w:ascii="Times New Roman" w:hAnsi="Times New Roman"/>
                <w:sz w:val="20"/>
                <w:szCs w:val="20"/>
              </w:rPr>
              <w:t xml:space="preserve"> de disociación en agua: (Sólo para las sustancias que se disocian en agua). La disociación de una sustancia química en agua nos da una medida del impacto de la misma en el ambiente. Afecta la absorción de la sustancia en suelos y sedimentos, también en células biológicas. OECD 112; FIFRA 63-10.</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2.18 Viscosidad: (para sustancias líquidas). La viscosidad de fluidos es ambientalmente relevante debido a la penetración de los mismos en el suelo y el posible efecto nocivo que, ello, pueda provocar en la napa de agua.</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Cuanto menor es la viscosidad, </w:t>
            </w:r>
            <w:proofErr w:type="spellStart"/>
            <w:r w:rsidRPr="009D263B">
              <w:rPr>
                <w:rFonts w:ascii="Times New Roman" w:hAnsi="Times New Roman"/>
                <w:sz w:val="20"/>
                <w:szCs w:val="20"/>
              </w:rPr>
              <w:t>mas</w:t>
            </w:r>
            <w:proofErr w:type="spellEnd"/>
            <w:r w:rsidRPr="009D263B">
              <w:rPr>
                <w:rFonts w:ascii="Times New Roman" w:hAnsi="Times New Roman"/>
                <w:sz w:val="20"/>
                <w:szCs w:val="20"/>
              </w:rPr>
              <w:t xml:space="preserve"> fácilmente penetra el fluido en el suelo. CIPAC MT 22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b/>
                <w:sz w:val="20"/>
                <w:szCs w:val="20"/>
              </w:rPr>
              <w:t>3.  ASPECTOS RELACIONADOS A SU USO</w:t>
            </w:r>
            <w:r w:rsidRPr="009D263B">
              <w:rPr>
                <w:rFonts w:ascii="Times New Roman" w:hAnsi="Times New Roman"/>
                <w:sz w:val="20"/>
                <w:szCs w:val="20"/>
              </w:rPr>
              <w:t>.</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  Aptitud.</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Efecto sobre los organismos-plaga (Ej.: tóxico por inhalación, contacto, sistémico u otras formas).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ESTUDIOS DE EFECTOS TÓXICOS EN ESPECIES MAMÍFERAS.</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  Toxicidad Aguda.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4.1.1.  Oral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4.1.2.  Dérmica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Inhalatoria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  Irritación cutánea y ocular</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4.1.4.1.  Irritación cutánea. </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4.1.4.2.  Irritación ocular. Este estudio se requerirá a menos que la sustancia activa grado técnico es corrosiva para la piel o presenta un pH menor a DOS (2) o mayor a once con cinco (11,5)</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4.1.5.  Sensibilización </w:t>
            </w:r>
            <w:proofErr w:type="spellStart"/>
            <w:r w:rsidRPr="009D263B">
              <w:rPr>
                <w:rFonts w:ascii="Times New Roman" w:hAnsi="Times New Roman"/>
                <w:sz w:val="20"/>
                <w:szCs w:val="20"/>
              </w:rPr>
              <w:t>cutânea</w:t>
            </w:r>
            <w:proofErr w:type="spellEnd"/>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4.2  Toxicidad</w:t>
            </w:r>
            <w:proofErr w:type="gramEnd"/>
            <w:r w:rsidRPr="009D263B">
              <w:rPr>
                <w:rFonts w:ascii="Times New Roman" w:hAnsi="Times New Roman"/>
                <w:sz w:val="20"/>
                <w:szCs w:val="20"/>
              </w:rPr>
              <w:t xml:space="preserve"> </w:t>
            </w:r>
            <w:proofErr w:type="spellStart"/>
            <w:r w:rsidRPr="009D263B">
              <w:rPr>
                <w:rFonts w:ascii="Times New Roman" w:hAnsi="Times New Roman"/>
                <w:sz w:val="20"/>
                <w:szCs w:val="20"/>
              </w:rPr>
              <w:t>subcrónica</w:t>
            </w:r>
            <w:proofErr w:type="spellEnd"/>
            <w:r w:rsidRPr="009D263B">
              <w:rPr>
                <w:rFonts w:ascii="Times New Roman" w:hAnsi="Times New Roman"/>
                <w:sz w:val="20"/>
                <w:szCs w:val="20"/>
              </w:rPr>
              <w:t xml:space="preserve"> (corto plazo/medio plazo)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4.3  Mutagenicidad</w:t>
            </w:r>
            <w:proofErr w:type="gramEnd"/>
            <w:r w:rsidRPr="009D263B">
              <w:rPr>
                <w:rFonts w:ascii="Times New Roman" w:hAnsi="Times New Roman"/>
                <w:sz w:val="20"/>
                <w:szCs w:val="20"/>
              </w:rPr>
              <w:t>: Mutación genética (test de Ames u otros). Un estudio inicial de Mutagenicidad es requerido mínimamente. Estudios subsiguientes pueden o no ser requeridos de acuerdo con el propósito del estudio de mutagénesis.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b/>
                <w:sz w:val="20"/>
                <w:szCs w:val="20"/>
              </w:rPr>
              <w:t>5. INFORMACIÓN MÉDICA OBLIGATORIA</w:t>
            </w:r>
            <w:r w:rsidRPr="009D263B">
              <w:rPr>
                <w:rFonts w:ascii="Times New Roman" w:hAnsi="Times New Roman"/>
                <w:sz w:val="20"/>
                <w:szCs w:val="20"/>
              </w:rPr>
              <w:t>:</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5.5.1. Tratamientos propuestos: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 xml:space="preserve">5.5.1.1. Primeros </w:t>
            </w:r>
            <w:proofErr w:type="spellStart"/>
            <w:r w:rsidRPr="009D263B">
              <w:rPr>
                <w:rFonts w:ascii="Times New Roman" w:hAnsi="Times New Roman"/>
                <w:sz w:val="20"/>
                <w:szCs w:val="20"/>
              </w:rPr>
              <w:t>auxílios</w:t>
            </w:r>
            <w:proofErr w:type="spellEnd"/>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5.5.1.2. Tratamiento médico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lastRenderedPageBreak/>
              <w:t>5.5.1.3. Antídotos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bl>
    <w:p w:rsidR="00002058" w:rsidRDefault="00002058"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Pr="009D263B" w:rsidRDefault="00656B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526" w:rsidRDefault="00421526" w:rsidP="00CF2CE6">
      <w:r>
        <w:separator/>
      </w:r>
    </w:p>
  </w:endnote>
  <w:endnote w:type="continuationSeparator" w:id="0">
    <w:p w:rsidR="00421526" w:rsidRDefault="00421526"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526" w:rsidRDefault="00421526" w:rsidP="00CF2CE6">
      <w:r>
        <w:separator/>
      </w:r>
    </w:p>
  </w:footnote>
  <w:footnote w:type="continuationSeparator" w:id="0">
    <w:p w:rsidR="00421526" w:rsidRDefault="00421526"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4"/>
      <w:gridCol w:w="4961"/>
      <w:gridCol w:w="2889"/>
    </w:tblGrid>
    <w:tr w:rsidR="00355CC1" w:rsidTr="00964CD2">
      <w:trPr>
        <w:trHeight w:val="1142"/>
      </w:trPr>
      <w:tc>
        <w:tcPr>
          <w:tcW w:w="3004" w:type="dxa"/>
          <w:vAlign w:val="center"/>
        </w:tcPr>
        <w:p w:rsidR="00355CC1" w:rsidRPr="00B85585" w:rsidRDefault="00964CD2" w:rsidP="00E17C11">
          <w:pPr>
            <w:ind w:right="360"/>
            <w:jc w:val="center"/>
            <w:rPr>
              <w:rFonts w:ascii="Calibri" w:hAnsi="Calibri" w:cs="Arial"/>
              <w:lang w:val="es-PY"/>
            </w:rPr>
          </w:pPr>
          <w:r w:rsidRPr="00D36E40">
            <w:rPr>
              <w:noProof/>
              <w:lang w:eastAsia="es-PY"/>
            </w:rPr>
            <w:drawing>
              <wp:anchor distT="0" distB="0" distL="114300" distR="114300" simplePos="0" relativeHeight="251659264" behindDoc="1" locked="0" layoutInCell="1" allowOverlap="1" wp14:anchorId="1872489D" wp14:editId="735863A2">
                <wp:simplePos x="0" y="0"/>
                <wp:positionH relativeFrom="margin">
                  <wp:posOffset>-21590</wp:posOffset>
                </wp:positionH>
                <wp:positionV relativeFrom="paragraph">
                  <wp:posOffset>-40640</wp:posOffset>
                </wp:positionV>
                <wp:extent cx="1893570" cy="647700"/>
                <wp:effectExtent l="0" t="0" r="0" b="0"/>
                <wp:wrapNone/>
                <wp:docPr id="2" name="Imagen 2" descr="C:\Users\Prensa\Desktop\HOJA A4 SENAVE 2023 OF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sa\Desktop\HOJA A4 SENAVE 2023 OFIC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79" r="42980" b="94715"/>
                        <a:stretch/>
                      </pic:blipFill>
                      <pic:spPr bwMode="auto">
                        <a:xfrm>
                          <a:off x="0" y="0"/>
                          <a:ext cx="189357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vAlign w:val="center"/>
        </w:tcPr>
        <w:p w:rsidR="00355CC1" w:rsidRPr="006F325F" w:rsidRDefault="00656B8E" w:rsidP="00E17C11">
          <w:pPr>
            <w:jc w:val="center"/>
            <w:rPr>
              <w:rFonts w:ascii="Times New Roman" w:hAnsi="Times New Roman" w:cs="Times New Roman"/>
              <w:b/>
              <w:bCs/>
              <w:sz w:val="24"/>
              <w:szCs w:val="24"/>
            </w:rPr>
          </w:pPr>
          <w:r w:rsidRPr="009D263B">
            <w:rPr>
              <w:rFonts w:ascii="Times New Roman" w:hAnsi="Times New Roman"/>
              <w:b/>
            </w:rPr>
            <w:t>ANEXO V</w:t>
          </w:r>
          <w:r w:rsidRPr="004F4B57">
            <w:rPr>
              <w:rFonts w:ascii="Times New Roman" w:hAnsi="Times New Roman"/>
              <w:b/>
            </w:rPr>
            <w:t>. INDICE</w:t>
          </w:r>
          <w:r w:rsidRPr="009D263B">
            <w:rPr>
              <w:rFonts w:ascii="Times New Roman" w:hAnsi="Times New Roman"/>
            </w:rPr>
            <w:t>. ESTUDIOS SOLICITADOS EN EL CUERPO III – CUERPO TÉCNICO, PARA EL REGISTRO DE SUSTANCIA ACTIVA QUÍMICA Y BIOQUÍMICA NUEVA SIN ANTECEDENTES DE USO</w:t>
          </w:r>
        </w:p>
      </w:tc>
      <w:tc>
        <w:tcPr>
          <w:tcW w:w="2889"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w:t>
          </w:r>
          <w:r w:rsidR="00964CD2">
            <w:rPr>
              <w:rFonts w:ascii="Times New Roman" w:hAnsi="Times New Roman"/>
              <w:b/>
              <w:i w:val="0"/>
            </w:rPr>
            <w:t xml:space="preserve"> </w:t>
          </w:r>
          <w:r w:rsidRPr="006F325F">
            <w:rPr>
              <w:rFonts w:ascii="Times New Roman" w:hAnsi="Times New Roman"/>
              <w:i w:val="0"/>
            </w:rPr>
            <w:t>FOR-DAG-0</w:t>
          </w:r>
          <w:r w:rsidR="00A71B8F" w:rsidRPr="006F325F">
            <w:rPr>
              <w:rFonts w:ascii="Times New Roman" w:hAnsi="Times New Roman"/>
              <w:i w:val="0"/>
            </w:rPr>
            <w:t>1</w:t>
          </w:r>
          <w:r w:rsidR="00961A8C">
            <w:rPr>
              <w:rFonts w:ascii="Times New Roman" w:hAnsi="Times New Roman"/>
              <w:i w:val="0"/>
            </w:rPr>
            <w:t>9</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B207DB">
            <w:rPr>
              <w:rFonts w:ascii="Times New Roman" w:hAnsi="Times New Roman" w:cs="Times New Roman"/>
              <w:sz w:val="24"/>
              <w:szCs w:val="24"/>
              <w:lang w:val="es-PY"/>
            </w:rPr>
            <w:t>2</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964CD2">
            <w:rPr>
              <w:rFonts w:ascii="Times New Roman" w:hAnsi="Times New Roman" w:cs="Times New Roman"/>
              <w:sz w:val="24"/>
              <w:szCs w:val="24"/>
              <w:lang w:val="es-PY"/>
            </w:rPr>
            <w:t>29/08/2023</w:t>
          </w:r>
        </w:p>
        <w:p w:rsidR="00355CC1" w:rsidRPr="006F325F" w:rsidRDefault="00355CC1" w:rsidP="00CF2CE6">
          <w:pPr>
            <w:ind w:right="-63"/>
            <w:contextualSpacing/>
            <w:rPr>
              <w:rFonts w:ascii="Times New Roman" w:hAnsi="Times New Roman" w:cs="Times New Roman"/>
              <w:sz w:val="24"/>
              <w:szCs w:val="24"/>
              <w:lang w:val="es-PY"/>
            </w:rPr>
          </w:pPr>
          <w:proofErr w:type="gramStart"/>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w:t>
          </w:r>
          <w:proofErr w:type="gramEnd"/>
          <w:r w:rsidRPr="006F325F">
            <w:rPr>
              <w:rFonts w:ascii="Times New Roman" w:hAnsi="Times New Roman" w:cs="Times New Roman"/>
              <w:snapToGrid w:val="0"/>
              <w:sz w:val="24"/>
              <w:szCs w:val="24"/>
              <w:lang w:val="es-PY"/>
            </w:rPr>
            <w:t xml:space="preserv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656B8E">
            <w:rPr>
              <w:rStyle w:val="Nmerodepgina"/>
              <w:rFonts w:ascii="Times New Roman" w:hAnsi="Times New Roman" w:cs="Times New Roman"/>
              <w:noProof/>
              <w:sz w:val="24"/>
              <w:szCs w:val="24"/>
            </w:rPr>
            <w:t>1</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656B8E">
            <w:rPr>
              <w:rStyle w:val="Nmerodepgina"/>
              <w:rFonts w:ascii="Times New Roman" w:hAnsi="Times New Roman" w:cs="Times New Roman"/>
              <w:noProof/>
              <w:sz w:val="24"/>
              <w:szCs w:val="24"/>
            </w:rPr>
            <w:t>3</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10799E"/>
    <w:rsid w:val="00192F9A"/>
    <w:rsid w:val="00193832"/>
    <w:rsid w:val="00193A6A"/>
    <w:rsid w:val="00227AD8"/>
    <w:rsid w:val="002A303B"/>
    <w:rsid w:val="002D2DFE"/>
    <w:rsid w:val="00326801"/>
    <w:rsid w:val="00327F4D"/>
    <w:rsid w:val="003533C4"/>
    <w:rsid w:val="00355CC1"/>
    <w:rsid w:val="00406C3E"/>
    <w:rsid w:val="004150DD"/>
    <w:rsid w:val="00421526"/>
    <w:rsid w:val="00427806"/>
    <w:rsid w:val="00464292"/>
    <w:rsid w:val="004B43A7"/>
    <w:rsid w:val="00570463"/>
    <w:rsid w:val="00604C91"/>
    <w:rsid w:val="00641F21"/>
    <w:rsid w:val="00656B8E"/>
    <w:rsid w:val="006F325F"/>
    <w:rsid w:val="00752686"/>
    <w:rsid w:val="00776891"/>
    <w:rsid w:val="00947AA0"/>
    <w:rsid w:val="00961A8C"/>
    <w:rsid w:val="00964CD2"/>
    <w:rsid w:val="009E486D"/>
    <w:rsid w:val="009F6180"/>
    <w:rsid w:val="00A122E2"/>
    <w:rsid w:val="00A27AE3"/>
    <w:rsid w:val="00A71B8F"/>
    <w:rsid w:val="00AC5BA3"/>
    <w:rsid w:val="00AE15EA"/>
    <w:rsid w:val="00B207DB"/>
    <w:rsid w:val="00BC45D2"/>
    <w:rsid w:val="00C6289B"/>
    <w:rsid w:val="00CF2CE6"/>
    <w:rsid w:val="00D67534"/>
    <w:rsid w:val="00E17C11"/>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32B53"/>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D620-19B5-47D4-88FF-86B2894F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Lugo</cp:lastModifiedBy>
  <cp:revision>4</cp:revision>
  <cp:lastPrinted>2018-05-10T13:52:00Z</cp:lastPrinted>
  <dcterms:created xsi:type="dcterms:W3CDTF">2018-12-20T14:56:00Z</dcterms:created>
  <dcterms:modified xsi:type="dcterms:W3CDTF">2023-08-30T12:57:00Z</dcterms:modified>
</cp:coreProperties>
</file>