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308"/>
        <w:gridCol w:w="1185"/>
        <w:gridCol w:w="1275"/>
      </w:tblGrid>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E56FDA" w:rsidRPr="009D263B" w:rsidTr="00E56FDA">
        <w:tc>
          <w:tcPr>
            <w:tcW w:w="10768" w:type="dxa"/>
            <w:gridSpan w:val="3"/>
            <w:shd w:val="clear" w:color="auto" w:fill="D9D9D9" w:themeFill="background1" w:themeFillShade="D9"/>
          </w:tcPr>
          <w:p w:rsidR="00E56FDA" w:rsidRPr="00E11749" w:rsidRDefault="00E56FDA"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b/>
                <w:sz w:val="20"/>
                <w:szCs w:val="20"/>
              </w:rPr>
            </w:pPr>
            <w:bookmarkStart w:id="0" w:name="_GoBack"/>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bookmarkEnd w:id="0"/>
          </w:p>
        </w:tc>
      </w:tr>
      <w:tr w:rsidR="00E56FDA" w:rsidRPr="009D263B" w:rsidTr="00E56FDA">
        <w:tc>
          <w:tcPr>
            <w:tcW w:w="10768" w:type="dxa"/>
            <w:gridSpan w:val="3"/>
            <w:shd w:val="clear" w:color="auto" w:fill="auto"/>
          </w:tcPr>
          <w:p w:rsidR="00E56FDA" w:rsidRPr="00E11749" w:rsidRDefault="00E56FDA"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E56FDA" w:rsidRPr="009D263B" w:rsidTr="00E56FDA">
        <w:tc>
          <w:tcPr>
            <w:tcW w:w="8308"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E56FDA" w:rsidRPr="009D263B" w:rsidRDefault="00E56FDA"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COMPOSICIÓN:</w:t>
            </w:r>
          </w:p>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  Contenido de sustancia(s) activa(s) grado técnico expresado en porcentaje o p/p </w:t>
            </w:r>
            <w:proofErr w:type="spellStart"/>
            <w:r w:rsidRPr="009D263B">
              <w:rPr>
                <w:rFonts w:ascii="Times New Roman" w:hAnsi="Times New Roman"/>
                <w:sz w:val="20"/>
                <w:szCs w:val="20"/>
              </w:rPr>
              <w:t>ó</w:t>
            </w:r>
            <w:proofErr w:type="spellEnd"/>
            <w:r w:rsidRPr="009D263B">
              <w:rPr>
                <w:rFonts w:ascii="Times New Roman" w:hAnsi="Times New Roman"/>
                <w:sz w:val="20"/>
                <w:szCs w:val="20"/>
              </w:rPr>
              <w:t xml:space="preserve"> p/v.</w:t>
            </w:r>
          </w:p>
        </w:tc>
        <w:tc>
          <w:tcPr>
            <w:tcW w:w="1185" w:type="dxa"/>
          </w:tcPr>
          <w:p w:rsidR="00E56FDA" w:rsidRPr="009D263B" w:rsidRDefault="00E56FDA" w:rsidP="00EA68B8">
            <w:pPr>
              <w:pStyle w:val="Sinespaciado"/>
              <w:spacing w:after="120"/>
              <w:contextualSpacing/>
              <w:jc w:val="both"/>
              <w:rPr>
                <w:rFonts w:ascii="Times New Roman" w:hAnsi="Times New Roman"/>
                <w:b/>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b/>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Método de análisis para la determinación del contenido de sustancia(s) activa(s).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2.  PROPIEDADES FÍSICAS Y QUÍMICAS:</w:t>
            </w:r>
          </w:p>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  Aspecto: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2.1.2  Color</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2.1.3  Olor</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2.2  Estabilidad en el almacenamiento: para líquidos y sólidos CIPAC MT46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2.3  Punto de Ebullición: (Líquidas a temperatura ambiente) OECD 103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2.4  Densidad: OECD 109- CIPAC MT 3/ MT 58.4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2.5 Inflamabilidad: Punto de Inflamación: Es la temperatura mínima a la cual, en condiciones normalizadas, los vapores presentes en la superficie de un líquido se inflaman al aproximar la llama de ensayo, sin que prosiga la combustión. Determinar el punto de inflamación para todas aquellas sustancias, líquidas o sólidas (estas últimas, sólo, las que tengan punto de fusión menor a SETENTA GRADOS CENTIGRADOS (70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que despidan vapores inflamables al ser calentadas a temperaturas menores o igual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(en vaso abierto). Para el resto de las sustancias que despiden vapores inflamables al ser calentadas a temperaturas mayores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se indicará: Punto de inflamación mayor a CIENTO TREINTA Y CINCO GRADOS CENTIGRADOS (135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2.6  Acidez/alcalinidad y pH</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2.7  Explosividad: Si la formulación contiene algún componente explosivo (EEC A.14; FIFRA 63-16)</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3.  PROPIEDADES FÍSICAS RELACIONADAS CON SU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Humectabilidad: Para polvos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y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(CIPAC MT 53.3)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Persistencia de la espuma para formulados que se aplican con agua CIPAC MT 47)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3.3  </w:t>
            </w:r>
            <w:proofErr w:type="spellStart"/>
            <w:r w:rsidRPr="009D263B">
              <w:rPr>
                <w:rFonts w:ascii="Times New Roman" w:hAnsi="Times New Roman"/>
                <w:sz w:val="20"/>
                <w:szCs w:val="20"/>
              </w:rPr>
              <w:t>Suspensibilidad</w:t>
            </w:r>
            <w:proofErr w:type="spellEnd"/>
            <w:r w:rsidRPr="009D263B">
              <w:rPr>
                <w:rFonts w:ascii="Times New Roman" w:hAnsi="Times New Roman"/>
                <w:sz w:val="20"/>
                <w:szCs w:val="20"/>
              </w:rPr>
              <w:t xml:space="preserve">: Para gránulos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(WG) (CIPAC MT 168); para polvos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(WP) (CIPAC MT 15); para suspensiones concentradas (SC) (CIPAC MT 161)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3.4  Análisis granulométrico en húmedo: Para las suspensiones concentradas y polvos </w:t>
            </w:r>
            <w:proofErr w:type="spellStart"/>
            <w:r w:rsidRPr="009D263B">
              <w:rPr>
                <w:rFonts w:ascii="Times New Roman" w:hAnsi="Times New Roman"/>
                <w:sz w:val="20"/>
                <w:szCs w:val="20"/>
              </w:rPr>
              <w:t>mojables</w:t>
            </w:r>
            <w:proofErr w:type="spellEnd"/>
            <w:r w:rsidRPr="009D263B">
              <w:rPr>
                <w:rFonts w:ascii="Times New Roman" w:hAnsi="Times New Roman"/>
                <w:sz w:val="20"/>
                <w:szCs w:val="20"/>
              </w:rPr>
              <w:t xml:space="preserve"> (CIPAC MT 59.3).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3.5  Análisis granulométrico en seco: Para gránulos y polvos (CIPAC MT 59.1)</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3.6  Estabilidad de la emulsión: Para concentrados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 xml:space="preserve"> (CIPAC 36.1 y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 xml:space="preserve">3.7  </w:t>
            </w:r>
            <w:proofErr w:type="spellStart"/>
            <w:r w:rsidRPr="009D263B">
              <w:rPr>
                <w:rFonts w:ascii="Times New Roman" w:hAnsi="Times New Roman"/>
                <w:sz w:val="20"/>
                <w:szCs w:val="20"/>
              </w:rPr>
              <w:t>Escorrosividad</w:t>
            </w:r>
            <w:proofErr w:type="spellEnd"/>
            <w:r w:rsidRPr="009D263B">
              <w:rPr>
                <w:rFonts w:ascii="Times New Roman" w:hAnsi="Times New Roman"/>
                <w:sz w:val="20"/>
                <w:szCs w:val="20"/>
              </w:rPr>
              <w:t>: FIFRA 63-20; EEC A. 17</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3.8  Incompatibilidad con otros productos fitosanitarios y/o fertilizantes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3.9  Densidad: sólidos y líquidos (CIPAC MT 3).</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3.10  Punto de inflamación: Para aceites y líquidos, (CIPAC MT 12)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3.11 Viscosidad: Para aceites, suspensiones y concentrados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 xml:space="preserve"> (CIPAC MT 22)</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3.12 Índice de </w:t>
            </w:r>
            <w:proofErr w:type="spellStart"/>
            <w:r w:rsidRPr="009D263B">
              <w:rPr>
                <w:rFonts w:ascii="Times New Roman" w:hAnsi="Times New Roman"/>
                <w:sz w:val="20"/>
                <w:szCs w:val="20"/>
              </w:rPr>
              <w:t>sulfonación</w:t>
            </w:r>
            <w:proofErr w:type="spellEnd"/>
            <w:r w:rsidRPr="009D263B">
              <w:rPr>
                <w:rFonts w:ascii="Times New Roman" w:hAnsi="Times New Roman"/>
                <w:sz w:val="20"/>
                <w:szCs w:val="20"/>
              </w:rPr>
              <w:t xml:space="preserve">: (residuo no </w:t>
            </w:r>
            <w:proofErr w:type="spellStart"/>
            <w:r w:rsidRPr="009D263B">
              <w:rPr>
                <w:rFonts w:ascii="Times New Roman" w:hAnsi="Times New Roman"/>
                <w:sz w:val="20"/>
                <w:szCs w:val="20"/>
              </w:rPr>
              <w:t>sulfonable</w:t>
            </w:r>
            <w:proofErr w:type="spellEnd"/>
            <w:r w:rsidRPr="009D263B">
              <w:rPr>
                <w:rFonts w:ascii="Times New Roman" w:hAnsi="Times New Roman"/>
                <w:sz w:val="20"/>
                <w:szCs w:val="20"/>
              </w:rPr>
              <w:t xml:space="preserve"> para aceites y aceites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3.13 Dispersión: Para gránulos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(CIPAC MT 174).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3.14 Desprendimiento de gases: Para gránulos generadores de gas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3.15 Soltura o fluidez: Para polvos secos (CIPAC MT 44).</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3.16  Índice de Iodo y de saponificación: Sólo para aceites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3.17  Tensión superficial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4.  DATOS SOBRE LA APLICACIÓN</w:t>
            </w:r>
          </w:p>
          <w:p w:rsidR="00E56FDA" w:rsidRPr="009D263B" w:rsidRDefault="00E56FDA"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Los ensayos deberán realizarse siguiendo lo establecido por el PROTOCOLO PATRÓN para ensayos de eficacia agronómica de plaguicidas agrícolas.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  Ámbito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4.2  Efecto sobre la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4.3  Condiciones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 xml:space="preserve">4.4 Dosis. Información correspondiente a los resultados de los ensayos de </w:t>
            </w:r>
            <w:proofErr w:type="spellStart"/>
            <w:r w:rsidRPr="009D263B">
              <w:rPr>
                <w:rFonts w:ascii="Times New Roman" w:hAnsi="Times New Roman"/>
                <w:lang w:val="es-PY"/>
              </w:rPr>
              <w:t>eficácia</w:t>
            </w:r>
            <w:proofErr w:type="spellEnd"/>
            <w:r w:rsidRPr="009D263B">
              <w:rPr>
                <w:rFonts w:ascii="Times New Roman" w:hAnsi="Times New Roman"/>
                <w:lang w:val="es-PY"/>
              </w:rPr>
              <w:t xml:space="preserve">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4.5  Número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4.6  Método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4.7  Instrucciones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4.8  Tiempo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4.9  Periodo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4.10  Efectos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 xml:space="preserve">4.11 </w:t>
            </w:r>
            <w:proofErr w:type="spellStart"/>
            <w:r w:rsidRPr="009D263B">
              <w:rPr>
                <w:rFonts w:ascii="Times New Roman" w:hAnsi="Times New Roman"/>
                <w:lang w:val="es-PY"/>
              </w:rPr>
              <w:t>Fitotoxicidad</w:t>
            </w:r>
            <w:proofErr w:type="spellEnd"/>
            <w:r w:rsidRPr="009D263B">
              <w:rPr>
                <w:rFonts w:ascii="Times New Roman" w:hAnsi="Times New Roman"/>
                <w:lang w:val="es-PY"/>
              </w:rPr>
              <w:t xml:space="preserve">. Información correspondiente a los resultados de los ensayos de </w:t>
            </w:r>
            <w:proofErr w:type="spellStart"/>
            <w:r w:rsidRPr="009D263B">
              <w:rPr>
                <w:rFonts w:ascii="Times New Roman" w:hAnsi="Times New Roman"/>
                <w:lang w:val="es-PY"/>
              </w:rPr>
              <w:t>fitotoxicidad</w:t>
            </w:r>
            <w:proofErr w:type="spell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4.12 Usos propuestos y aprobados en otros países, especialmente en la región MERCOSUR</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/COSAVE y en otros países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5.  ETIQUETADO</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  Consideraciones generales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rPr>
          <w:trHeight w:val="476"/>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5.1.1 El etiquetado se regirá por la directriz general FAO “Sobre Etiquetado Correcto de los</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Plaguicidas”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5.1.2 Se adoptará el sistema de clasificación de los plaguicidas según sus riesgos, desarrollado por la OMS (Versión más reciente)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5.1.3  Se adoptarán los pictogramas para la etiqueta de los plaguicidas recomendado por la FAO.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5.1.4  Se podrán adoptar símbolos pictográficos específicos (N contemplados por FAO para incluir el etiquetado.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lastRenderedPageBreak/>
              <w:t>5.2  Información básica que deberá figurar en la etiqueta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 Datos sobre la aplicación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proofErr w:type="gramStart"/>
            <w:r w:rsidRPr="009D263B">
              <w:rPr>
                <w:rFonts w:ascii="Times New Roman" w:hAnsi="Times New Roman"/>
                <w:lang w:val="es-PY"/>
              </w:rPr>
              <w:t>5.2.1.1  Ámbito</w:t>
            </w:r>
            <w:proofErr w:type="gramEnd"/>
            <w:r w:rsidRPr="009D263B">
              <w:rPr>
                <w:rFonts w:ascii="Times New Roman" w:hAnsi="Times New Roman"/>
                <w:lang w:val="es-PY"/>
              </w:rPr>
              <w:t xml:space="preserve"> de Aplicación (invernáculo, campo, etc.).</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5.2.1.2  Efecto sobre las plagas en los vegetales.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5.2.1.3  Condiciones en que el producto puede o no ser utilizado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5.2.1.4   Dosis. Información correspondiente a los resultados de los ensayos de    eficacia Agronómica.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5.2.1.5  Número y momentos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5.2.1.6  Método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5.2.1.7  Instrucciones de uso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5.2.1.8  Tiempo de reingreso al área tratada propuesta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5.2.1.9  Período de carencia, propuestos por la empresa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5.2.1.10 Efectos sobre cultivos subsiguientes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 xml:space="preserve">5.2.1.11 </w:t>
            </w:r>
            <w:proofErr w:type="spellStart"/>
            <w:r w:rsidRPr="009D263B">
              <w:rPr>
                <w:rFonts w:ascii="Times New Roman" w:hAnsi="Times New Roman"/>
                <w:lang w:val="es-PY"/>
              </w:rPr>
              <w:t>Fitotoxicidad</w:t>
            </w:r>
            <w:proofErr w:type="spellEnd"/>
            <w:r w:rsidRPr="009D263B">
              <w:rPr>
                <w:rFonts w:ascii="Times New Roman" w:hAnsi="Times New Roman"/>
                <w:lang w:val="es-PY"/>
              </w:rPr>
              <w:t xml:space="preserve">. Información correspondiente a los resultados de los    ensayos de </w:t>
            </w:r>
            <w:proofErr w:type="spellStart"/>
            <w:r w:rsidRPr="009D263B">
              <w:rPr>
                <w:rFonts w:ascii="Times New Roman" w:hAnsi="Times New Roman"/>
                <w:lang w:val="es-PY"/>
              </w:rPr>
              <w:t>Fitotoxicidad</w:t>
            </w:r>
            <w:proofErr w:type="spellEnd"/>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5.2.1.12 Compatibilidad con otros productos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6.  ENVASES Y EMBALAJES PROPUESTOS</w:t>
            </w:r>
          </w:p>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6.1.1  Tipo(s).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6.1.2  Material(es).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6.1.3  Capacidad.</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6.1.4  Resistencia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6.1.5  Sistema de cierre</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6.2  Embalajes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6.2.1  Tipo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6.2.2  Material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6.2.3  Resistencia</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6.3  Acción del Producto sobre el material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6.4  Procedimientos para la descontaminación y destino final de los envases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7.  DATOS SOBRE EL MANEJO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7.1  Método de destrucción, eliminación o inutilización del producto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7.2  Identidad de los productos de combustión originados en casos de incendio</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7.3  Procedimiento de limpieza y descontaminación del equipo de aplicación</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7A0FDD" w:rsidRDefault="00E56FDA" w:rsidP="00EA68B8">
            <w:pPr>
              <w:spacing w:after="120"/>
              <w:rPr>
                <w:rFonts w:ascii="Times New Roman" w:hAnsi="Times New Roman"/>
                <w:b/>
                <w:lang w:val="es-PY"/>
              </w:rPr>
            </w:pPr>
            <w:r w:rsidRPr="007A0FDD">
              <w:rPr>
                <w:rFonts w:ascii="Times New Roman" w:hAnsi="Times New Roman"/>
                <w:b/>
                <w:lang w:val="es-PY"/>
              </w:rPr>
              <w:t>8.  DATOS TOXICOLÓGICOS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8.1  Toxicidad aguda para mamíferos.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8.1.1  Oral: Estudio que se requerirá en todos los casos excepto si el producto es un gas o altamente volátil.</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8.1.2 Dérmica: Esta estudio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lastRenderedPageBreak/>
              <w:t>8.1.3   Inhalatoria: Cuando el producto sea material inhalable o bajo las condiciones de uso resulten materiales inhalables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8.1.4  Irritación cutánea y ocular</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8.1.4.1 Irritación cutánea.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8.1.4.2 Irritación ocular. Se requerirá a menos que:   a) El producto sea gas o altamente volátil.   b) El producto sea corrosivo para la piel o presenta un pH menor a 2 o    mayor a 11.5.</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rPr>
                <w:rFonts w:ascii="Times New Roman" w:hAnsi="Times New Roman"/>
                <w:lang w:val="es-PY"/>
              </w:rPr>
            </w:pPr>
            <w:r w:rsidRPr="009D263B">
              <w:rPr>
                <w:rFonts w:ascii="Times New Roman" w:hAnsi="Times New Roman"/>
                <w:lang w:val="es-PY"/>
              </w:rPr>
              <w:t>8.1.5 Sensibilización cutánea. Este estudio se requerirá a menos que no ocurran en Condiciones de uso exposiciones dermales repetidas.</w:t>
            </w:r>
          </w:p>
        </w:tc>
        <w:tc>
          <w:tcPr>
            <w:tcW w:w="1185" w:type="dxa"/>
          </w:tcPr>
          <w:p w:rsidR="00E56FDA" w:rsidRPr="009D263B" w:rsidRDefault="00E56FDA" w:rsidP="00EA68B8">
            <w:pPr>
              <w:pStyle w:val="Sinespaciado"/>
              <w:spacing w:after="120"/>
              <w:contextualSpacing/>
              <w:jc w:val="both"/>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 Informaciones médicas obligatorias.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8.2.1 Diagnóstico y síntomas de intoxicación.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8.2.2 Tratamientos propuestos.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8.2.3 Primeros auxilios.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8.2.4 Antídotos.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jc w:val="center"/>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8.2.5 Tratamiento médico.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 Informaciones médicas complementarias (cuando estén disponibles).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8.3.1 Observación sobre la población abierta y estudios epidemiológicos.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262"/>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8.3.2 Observación directa de casos clínicos, accidentales y deliberados.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54"/>
        </w:trPr>
        <w:tc>
          <w:tcPr>
            <w:tcW w:w="8308" w:type="dxa"/>
          </w:tcPr>
          <w:p w:rsidR="00E56FDA" w:rsidRPr="004F4B57" w:rsidRDefault="00E56FDA" w:rsidP="00EA68B8">
            <w:pPr>
              <w:autoSpaceDE w:val="0"/>
              <w:autoSpaceDN w:val="0"/>
              <w:adjustRightInd w:val="0"/>
              <w:spacing w:after="120"/>
              <w:rPr>
                <w:rFonts w:ascii="Times New Roman" w:hAnsi="Times New Roman"/>
                <w:b/>
                <w:bCs/>
                <w:iCs/>
                <w:lang w:val="es-PY"/>
              </w:rPr>
            </w:pPr>
            <w:r w:rsidRPr="004F4B57">
              <w:rPr>
                <w:rFonts w:ascii="Times New Roman" w:hAnsi="Times New Roman"/>
                <w:b/>
                <w:bCs/>
                <w:iCs/>
                <w:lang w:val="es-PY"/>
              </w:rPr>
              <w:t>9. DATOS DE LOS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 Efectos tóxicos sobre especies no mamíferas.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9.1.1 Efectos tóxicos sobre las aves.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9.1.1.1 Toxicidad oral letal media de dosis única, en faisán, codorniz, pato silvestre y otras especies validadas con un </w:t>
            </w:r>
            <w:proofErr w:type="spellStart"/>
            <w:r w:rsidRPr="009D263B">
              <w:rPr>
                <w:rFonts w:ascii="Times New Roman" w:hAnsi="Times New Roman"/>
                <w:lang w:val="es-PY"/>
              </w:rPr>
              <w:t>xenobiótico</w:t>
            </w:r>
            <w:proofErr w:type="spellEnd"/>
            <w:r w:rsidRPr="009D263B">
              <w:rPr>
                <w:rFonts w:ascii="Times New Roman" w:hAnsi="Times New Roman"/>
                <w:lang w:val="es-PY"/>
              </w:rPr>
              <w:t xml:space="preserve"> </w:t>
            </w:r>
            <w:proofErr w:type="spellStart"/>
            <w:r w:rsidRPr="009D263B">
              <w:rPr>
                <w:rFonts w:ascii="Times New Roman" w:hAnsi="Times New Roman"/>
                <w:lang w:val="es-PY"/>
              </w:rPr>
              <w:t>lipofílico</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9.1.1.2 Toxicidad oral letal media </w:t>
            </w:r>
            <w:proofErr w:type="spellStart"/>
            <w:r w:rsidRPr="009D263B">
              <w:rPr>
                <w:rFonts w:ascii="Times New Roman" w:hAnsi="Times New Roman"/>
                <w:lang w:val="es-PY"/>
              </w:rPr>
              <w:t>dietaria</w:t>
            </w:r>
            <w:proofErr w:type="spellEnd"/>
            <w:r w:rsidRPr="009D263B">
              <w:rPr>
                <w:rFonts w:ascii="Times New Roman" w:hAnsi="Times New Roman"/>
                <w:lang w:val="es-PY"/>
              </w:rPr>
              <w:t xml:space="preserve">, en faisán, codorniz, pato silvestre y otras especies validadas con un </w:t>
            </w:r>
            <w:proofErr w:type="spellStart"/>
            <w:r w:rsidRPr="009D263B">
              <w:rPr>
                <w:rFonts w:ascii="Times New Roman" w:hAnsi="Times New Roman"/>
                <w:lang w:val="es-PY"/>
              </w:rPr>
              <w:t>xenobiótico</w:t>
            </w:r>
            <w:proofErr w:type="spellEnd"/>
            <w:r w:rsidRPr="009D263B">
              <w:rPr>
                <w:rFonts w:ascii="Times New Roman" w:hAnsi="Times New Roman"/>
                <w:lang w:val="es-PY"/>
              </w:rPr>
              <w:t xml:space="preserve"> </w:t>
            </w:r>
            <w:proofErr w:type="spellStart"/>
            <w:r w:rsidRPr="009D263B">
              <w:rPr>
                <w:rFonts w:ascii="Times New Roman" w:hAnsi="Times New Roman"/>
                <w:lang w:val="es-PY"/>
              </w:rPr>
              <w:t>lipofílico</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rPr>
          <w:trHeight w:val="310"/>
        </w:trPr>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9.1.2 Efectos tóxicos sobre organismos acuáticos.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9.1.2.1 Concentración letal media de 96 horas, en trucha, arco iris o carpa 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b/>
                <w:bCs/>
                <w:i/>
                <w:iCs/>
                <w:lang w:val="es-PY"/>
              </w:rPr>
            </w:pPr>
            <w:r w:rsidRPr="009D263B">
              <w:rPr>
                <w:rFonts w:ascii="Times New Roman" w:hAnsi="Times New Roman"/>
                <w:lang w:val="es-PY"/>
              </w:rPr>
              <w:t xml:space="preserve">9.1.2.2 Concentración letal media en </w:t>
            </w:r>
            <w:proofErr w:type="spellStart"/>
            <w:r w:rsidRPr="009D263B">
              <w:rPr>
                <w:rFonts w:ascii="Times New Roman" w:hAnsi="Times New Roman"/>
                <w:lang w:val="es-PY"/>
              </w:rPr>
              <w:t>microcrustacios</w:t>
            </w:r>
            <w:proofErr w:type="spellEnd"/>
            <w:r w:rsidRPr="009D263B">
              <w:rPr>
                <w:rFonts w:ascii="Times New Roman" w:hAnsi="Times New Roman"/>
                <w:lang w:val="es-PY"/>
              </w:rPr>
              <w:t xml:space="preserve"> en </w:t>
            </w:r>
            <w:proofErr w:type="spellStart"/>
            <w:r w:rsidRPr="009D263B">
              <w:rPr>
                <w:rFonts w:ascii="Times New Roman" w:hAnsi="Times New Roman"/>
                <w:i/>
                <w:iCs/>
                <w:lang w:val="es-PY"/>
              </w:rPr>
              <w:t>Daphnia</w:t>
            </w:r>
            <w:proofErr w:type="spellEnd"/>
            <w:r w:rsidRPr="009D263B">
              <w:rPr>
                <w:rFonts w:ascii="Times New Roman" w:hAnsi="Times New Roman"/>
                <w:i/>
                <w:iCs/>
                <w:lang w:val="es-PY"/>
              </w:rPr>
              <w:t xml:space="preserve"> magn</w:t>
            </w:r>
            <w:r w:rsidRPr="009D263B">
              <w:rPr>
                <w:rFonts w:ascii="Times New Roman" w:hAnsi="Times New Roman"/>
                <w:b/>
                <w:bCs/>
                <w:i/>
                <w:iCs/>
                <w:lang w:val="es-PY"/>
              </w:rPr>
              <w:t xml:space="preserve">a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i/>
                <w:iCs/>
                <w:lang w:val="es-PY"/>
              </w:rPr>
            </w:pPr>
            <w:r w:rsidRPr="009D263B">
              <w:rPr>
                <w:rFonts w:ascii="Times New Roman" w:hAnsi="Times New Roman"/>
                <w:lang w:val="es-PY"/>
              </w:rPr>
              <w:t xml:space="preserve">9.1.2.3 Concentración de inhibición media en algas. </w:t>
            </w:r>
            <w:proofErr w:type="spellStart"/>
            <w:r w:rsidRPr="009D263B">
              <w:rPr>
                <w:rFonts w:ascii="Times New Roman" w:hAnsi="Times New Roman"/>
                <w:i/>
                <w:iCs/>
                <w:lang w:val="es-PY"/>
              </w:rPr>
              <w:t>Selenastrum</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capricoednutum</w:t>
            </w:r>
            <w:proofErr w:type="spellEnd"/>
            <w:r w:rsidRPr="009D263B">
              <w:rPr>
                <w:rFonts w:ascii="Times New Roman" w:hAnsi="Times New Roman"/>
                <w:i/>
                <w:iCs/>
                <w:lang w:val="es-PY"/>
              </w:rPr>
              <w:t xml:space="preserve"> </w:t>
            </w:r>
            <w:r w:rsidRPr="009D263B">
              <w:rPr>
                <w:rFonts w:ascii="Times New Roman" w:hAnsi="Times New Roman"/>
                <w:lang w:val="es-PY"/>
              </w:rPr>
              <w:t>u otras especies validadas.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9.1.3 Efectos tóxicos sobre abejas.</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9.1.3.1 Toxicidad oral letal media en </w:t>
            </w:r>
            <w:proofErr w:type="spellStart"/>
            <w:r w:rsidRPr="009D263B">
              <w:rPr>
                <w:rFonts w:ascii="Times New Roman" w:hAnsi="Times New Roman"/>
                <w:i/>
                <w:iCs/>
                <w:lang w:val="es-PY"/>
              </w:rPr>
              <w:t>Aphis</w:t>
            </w:r>
            <w:proofErr w:type="spellEnd"/>
            <w:r w:rsidRPr="009D263B">
              <w:rPr>
                <w:rFonts w:ascii="Times New Roman" w:hAnsi="Times New Roman"/>
                <w:i/>
                <w:iCs/>
                <w:lang w:val="es-PY"/>
              </w:rPr>
              <w:t xml:space="preserve"> </w:t>
            </w:r>
            <w:proofErr w:type="spellStart"/>
            <w:r w:rsidRPr="009D263B">
              <w:rPr>
                <w:rFonts w:ascii="Times New Roman" w:hAnsi="Times New Roman"/>
                <w:i/>
                <w:iCs/>
                <w:lang w:val="es-PY"/>
              </w:rPr>
              <w:t>mellífera</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spacing w:after="120"/>
              <w:rPr>
                <w:rFonts w:ascii="Times New Roman" w:hAnsi="Times New Roman"/>
                <w:lang w:val="es-PY"/>
              </w:rPr>
            </w:pPr>
            <w:r w:rsidRPr="009D263B">
              <w:rPr>
                <w:rFonts w:ascii="Times New Roman" w:hAnsi="Times New Roman"/>
                <w:lang w:val="es-PY"/>
              </w:rPr>
              <w:t>9.2 Efectos sobre el ambiente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 Comportamiento en el suelo</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9.2.1.1 </w:t>
            </w:r>
            <w:proofErr w:type="spellStart"/>
            <w:r w:rsidRPr="009D263B">
              <w:rPr>
                <w:rFonts w:ascii="Times New Roman" w:hAnsi="Times New Roman"/>
                <w:lang w:val="es-PY"/>
              </w:rPr>
              <w:t>Residualidad</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9.2.1.2 Lixiviación.</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9.2.1.3 </w:t>
            </w:r>
            <w:proofErr w:type="spellStart"/>
            <w:r w:rsidRPr="009D263B">
              <w:rPr>
                <w:rFonts w:ascii="Times New Roman" w:hAnsi="Times New Roman"/>
                <w:lang w:val="es-PY"/>
              </w:rPr>
              <w:t>Degradabilidad</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9.2.2 Comportamiento en el agua y en el aire.</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lastRenderedPageBreak/>
              <w:t xml:space="preserve">9.2.2.1 </w:t>
            </w:r>
            <w:proofErr w:type="spellStart"/>
            <w:r w:rsidRPr="009D263B">
              <w:rPr>
                <w:rFonts w:ascii="Times New Roman" w:hAnsi="Times New Roman"/>
                <w:lang w:val="es-PY"/>
              </w:rPr>
              <w:t>Residualidad</w:t>
            </w:r>
            <w:proofErr w:type="spellEnd"/>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9.2.2.2 </w:t>
            </w:r>
            <w:proofErr w:type="spellStart"/>
            <w:r w:rsidRPr="009D263B">
              <w:rPr>
                <w:rFonts w:ascii="Times New Roman" w:hAnsi="Times New Roman"/>
                <w:lang w:val="es-PY"/>
              </w:rPr>
              <w:t>Degradabilidad</w:t>
            </w:r>
            <w:proofErr w:type="spellEnd"/>
            <w:r w:rsidRPr="009D263B">
              <w:rPr>
                <w:rFonts w:ascii="Times New Roman" w:hAnsi="Times New Roman"/>
                <w:lang w:val="es-PY"/>
              </w:rPr>
              <w:t>.</w:t>
            </w:r>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r w:rsidR="00E56FDA" w:rsidRPr="009D263B" w:rsidTr="00E56FDA">
        <w:tc>
          <w:tcPr>
            <w:tcW w:w="8308" w:type="dxa"/>
          </w:tcPr>
          <w:p w:rsidR="00E56FDA" w:rsidRPr="009D263B" w:rsidRDefault="00E56FDA" w:rsidP="00EA68B8">
            <w:pPr>
              <w:autoSpaceDE w:val="0"/>
              <w:autoSpaceDN w:val="0"/>
              <w:adjustRightInd w:val="0"/>
              <w:spacing w:after="120"/>
              <w:rPr>
                <w:rFonts w:ascii="Times New Roman" w:hAnsi="Times New Roman"/>
                <w:lang w:val="es-PY"/>
              </w:rPr>
            </w:pPr>
            <w:r w:rsidRPr="009D263B">
              <w:rPr>
                <w:rFonts w:ascii="Times New Roman" w:hAnsi="Times New Roman"/>
                <w:lang w:val="es-PY"/>
              </w:rPr>
              <w:t xml:space="preserve">9.2.2.3 </w:t>
            </w:r>
            <w:proofErr w:type="spellStart"/>
            <w:r w:rsidRPr="009D263B">
              <w:rPr>
                <w:rFonts w:ascii="Times New Roman" w:hAnsi="Times New Roman"/>
                <w:lang w:val="es-PY"/>
              </w:rPr>
              <w:t>Volatibilidad</w:t>
            </w:r>
            <w:proofErr w:type="spellEnd"/>
          </w:p>
        </w:tc>
        <w:tc>
          <w:tcPr>
            <w:tcW w:w="1185" w:type="dxa"/>
          </w:tcPr>
          <w:p w:rsidR="00E56FDA" w:rsidRPr="009D263B" w:rsidRDefault="00E56FDA" w:rsidP="00EA68B8">
            <w:pPr>
              <w:pStyle w:val="Sinespaciado"/>
              <w:spacing w:after="120"/>
              <w:contextualSpacing/>
              <w:jc w:val="center"/>
              <w:rPr>
                <w:rFonts w:ascii="Times New Roman" w:hAnsi="Times New Roman"/>
                <w:sz w:val="20"/>
                <w:szCs w:val="20"/>
              </w:rPr>
            </w:pPr>
          </w:p>
        </w:tc>
        <w:tc>
          <w:tcPr>
            <w:tcW w:w="1275" w:type="dxa"/>
          </w:tcPr>
          <w:p w:rsidR="00E56FDA" w:rsidRPr="009D263B" w:rsidRDefault="00E56FDA" w:rsidP="00EA68B8">
            <w:pPr>
              <w:pStyle w:val="Sinespaciado"/>
              <w:spacing w:after="120"/>
              <w:contextualSpacing/>
              <w:rPr>
                <w:rFonts w:ascii="Times New Roman" w:hAnsi="Times New Roman"/>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CF9" w:rsidRDefault="006A1CF9" w:rsidP="00CF2CE6">
      <w:r>
        <w:separator/>
      </w:r>
    </w:p>
  </w:endnote>
  <w:endnote w:type="continuationSeparator" w:id="0">
    <w:p w:rsidR="006A1CF9" w:rsidRDefault="006A1CF9"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CF9" w:rsidRDefault="006A1CF9" w:rsidP="00CF2CE6">
      <w:r>
        <w:separator/>
      </w:r>
    </w:p>
  </w:footnote>
  <w:footnote w:type="continuationSeparator" w:id="0">
    <w:p w:rsidR="006A1CF9" w:rsidRDefault="006A1CF9"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E56FDA" w:rsidP="00E17C11">
          <w:pPr>
            <w:jc w:val="center"/>
            <w:rPr>
              <w:rFonts w:ascii="Times New Roman" w:hAnsi="Times New Roman" w:cs="Times New Roman"/>
              <w:b/>
              <w:bCs/>
              <w:sz w:val="24"/>
              <w:szCs w:val="24"/>
            </w:rPr>
          </w:pPr>
          <w:r w:rsidRPr="001E40DF">
            <w:rPr>
              <w:rFonts w:ascii="Times New Roman" w:hAnsi="Times New Roman"/>
              <w:b/>
            </w:rPr>
            <w:t>ANEXO VI</w:t>
          </w:r>
          <w:r w:rsidRPr="001E40DF">
            <w:rPr>
              <w:rFonts w:ascii="Times New Roman" w:hAnsi="Times New Roman"/>
            </w:rPr>
            <w:t xml:space="preserve">. </w:t>
          </w:r>
          <w:r w:rsidRPr="007A0FDD">
            <w:rPr>
              <w:rFonts w:ascii="Times New Roman" w:hAnsi="Times New Roman"/>
              <w:b/>
            </w:rPr>
            <w:t>INDICE.</w:t>
          </w:r>
          <w:r w:rsidRPr="001E40DF">
            <w:rPr>
              <w:rFonts w:ascii="Times New Roman" w:hAnsi="Times New Roman"/>
            </w:rPr>
            <w:t xml:space="preserve"> ESTUDIOS SOLICITADOS EN EL CUERPO III – CUERPO TÉCNICO, PARA EL REGISTRO DE PRODUCTOS FORMULADOS EN BASE A SUSTANCIA ACTIVA QUÍMICA Y BIOQUÍMICA NUEVA SIN ANTECEDENTES DE USO</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E56FDA">
            <w:rPr>
              <w:rFonts w:ascii="Times New Roman" w:hAnsi="Times New Roman"/>
              <w:i w:val="0"/>
            </w:rPr>
            <w:t>20</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665C89">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665C89">
            <w:rPr>
              <w:rStyle w:val="Nmerodepgina"/>
              <w:rFonts w:ascii="Times New Roman" w:hAnsi="Times New Roman" w:cs="Times New Roman"/>
              <w:noProof/>
              <w:sz w:val="24"/>
              <w:szCs w:val="24"/>
            </w:rPr>
            <w:t>5</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mWPkbT37Dg4VNZKnosoCnogOv9A=" w:salt="ArPMXqzkRMIwnhIWholc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02058"/>
    <w:rsid w:val="000312BA"/>
    <w:rsid w:val="0010799E"/>
    <w:rsid w:val="00192F9A"/>
    <w:rsid w:val="00193832"/>
    <w:rsid w:val="00193A6A"/>
    <w:rsid w:val="001F7571"/>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41F21"/>
    <w:rsid w:val="00656B8E"/>
    <w:rsid w:val="00665C89"/>
    <w:rsid w:val="006A1CF9"/>
    <w:rsid w:val="006F325F"/>
    <w:rsid w:val="00752686"/>
    <w:rsid w:val="00776891"/>
    <w:rsid w:val="00947AA0"/>
    <w:rsid w:val="00961A8C"/>
    <w:rsid w:val="009E486D"/>
    <w:rsid w:val="009F6180"/>
    <w:rsid w:val="00A122E2"/>
    <w:rsid w:val="00A27AE3"/>
    <w:rsid w:val="00A71B8F"/>
    <w:rsid w:val="00AC5BA3"/>
    <w:rsid w:val="00AE15EA"/>
    <w:rsid w:val="00BC45D2"/>
    <w:rsid w:val="00C6289B"/>
    <w:rsid w:val="00CF2CE6"/>
    <w:rsid w:val="00D67534"/>
    <w:rsid w:val="00E17C11"/>
    <w:rsid w:val="00E56FDA"/>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419D-8297-490A-B493-B2A9AF44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7562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2019-01-10T13:50:00Z</dcterms:created>
  <dcterms:modified xsi:type="dcterms:W3CDTF">2019-01-10T13:50:00Z</dcterms:modified>
</cp:coreProperties>
</file>