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B8E" w:rsidRPr="00843509" w:rsidRDefault="00656B8E" w:rsidP="00002058">
      <w:pPr>
        <w:pStyle w:val="Sinespaciado"/>
        <w:contextualSpacing/>
        <w:rPr>
          <w:rFonts w:ascii="Times New Roman" w:hAnsi="Times New Roman"/>
          <w:b/>
          <w:szCs w:val="24"/>
        </w:rPr>
      </w:pPr>
    </w:p>
    <w:tbl>
      <w:tblPr>
        <w:tblStyle w:val="Tablaconcuadrcula"/>
        <w:tblW w:w="10768" w:type="dxa"/>
        <w:tblLook w:val="04A0" w:firstRow="1" w:lastRow="0" w:firstColumn="1" w:lastColumn="0" w:noHBand="0" w:noVBand="1"/>
      </w:tblPr>
      <w:tblGrid>
        <w:gridCol w:w="8308"/>
        <w:gridCol w:w="1185"/>
        <w:gridCol w:w="1275"/>
      </w:tblGrid>
      <w:tr w:rsidR="0089118E" w:rsidRPr="00E11749" w:rsidTr="0089118E">
        <w:tc>
          <w:tcPr>
            <w:tcW w:w="10768" w:type="dxa"/>
            <w:gridSpan w:val="3"/>
            <w:shd w:val="clear" w:color="auto" w:fill="D9D9D9" w:themeFill="background1" w:themeFillShade="D9"/>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SOLICITANTE</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Entidad Comercial:</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N° Registro SENAVE:</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Categoria de Registro</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Dirección:</w:t>
            </w:r>
          </w:p>
        </w:tc>
      </w:tr>
      <w:tr w:rsidR="0089118E" w:rsidRPr="00E11749" w:rsidTr="0089118E">
        <w:tc>
          <w:tcPr>
            <w:tcW w:w="10768" w:type="dxa"/>
            <w:gridSpan w:val="3"/>
            <w:shd w:val="clear" w:color="auto" w:fill="D9D9D9" w:themeFill="background1" w:themeFillShade="D9"/>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PRODUCTO</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Nombre Comercial:</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Ingrediente Activo/ Concentración:</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sz w:val="20"/>
                <w:szCs w:val="20"/>
              </w:rPr>
            </w:pPr>
            <w:r w:rsidRPr="00E11749">
              <w:rPr>
                <w:rFonts w:ascii="Times New Roman" w:hAnsi="Times New Roman"/>
                <w:sz w:val="20"/>
                <w:szCs w:val="20"/>
              </w:rPr>
              <w:t>Tipo de Formulación:</w:t>
            </w:r>
          </w:p>
        </w:tc>
      </w:tr>
      <w:tr w:rsidR="0089118E" w:rsidRPr="009D263B" w:rsidTr="0089118E">
        <w:tc>
          <w:tcPr>
            <w:tcW w:w="8308" w:type="dxa"/>
            <w:shd w:val="clear" w:color="auto" w:fill="D9D9D9" w:themeFill="background1" w:themeFillShade="D9"/>
          </w:tcPr>
          <w:p w:rsidR="0089118E" w:rsidRPr="009D263B" w:rsidRDefault="0089118E" w:rsidP="00EA68B8">
            <w:pPr>
              <w:pStyle w:val="Sinespaciado"/>
              <w:spacing w:after="120"/>
              <w:contextualSpacing/>
              <w:jc w:val="both"/>
              <w:rPr>
                <w:rFonts w:ascii="Times New Roman" w:hAnsi="Times New Roman"/>
                <w:b/>
                <w:sz w:val="20"/>
                <w:szCs w:val="20"/>
              </w:rPr>
            </w:pPr>
          </w:p>
        </w:tc>
        <w:tc>
          <w:tcPr>
            <w:tcW w:w="1185" w:type="dxa"/>
            <w:shd w:val="clear" w:color="auto" w:fill="D9D9D9" w:themeFill="background1" w:themeFillShade="D9"/>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Archivo</w:t>
            </w:r>
          </w:p>
        </w:tc>
        <w:tc>
          <w:tcPr>
            <w:tcW w:w="1275" w:type="dxa"/>
            <w:shd w:val="clear" w:color="auto" w:fill="D9D9D9" w:themeFill="background1" w:themeFillShade="D9"/>
          </w:tcPr>
          <w:p w:rsidR="0089118E" w:rsidRPr="009D263B" w:rsidRDefault="0089118E" w:rsidP="00EA68B8">
            <w:pPr>
              <w:pStyle w:val="Sinespaciado"/>
              <w:spacing w:after="120"/>
              <w:contextualSpacing/>
              <w:jc w:val="center"/>
              <w:rPr>
                <w:rFonts w:ascii="Times New Roman" w:hAnsi="Times New Roman"/>
                <w:b/>
                <w:sz w:val="20"/>
                <w:szCs w:val="20"/>
              </w:rPr>
            </w:pPr>
            <w:r w:rsidRPr="009D263B">
              <w:rPr>
                <w:rFonts w:ascii="Times New Roman" w:hAnsi="Times New Roman"/>
                <w:b/>
                <w:sz w:val="20"/>
                <w:szCs w:val="20"/>
              </w:rPr>
              <w:t>Página</w:t>
            </w:r>
          </w:p>
        </w:tc>
      </w:tr>
      <w:tr w:rsidR="0089118E" w:rsidRPr="009D263B" w:rsidTr="0089118E">
        <w:trPr>
          <w:trHeight w:val="1069"/>
        </w:trPr>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  APLICABILIDAD</w:t>
            </w:r>
          </w:p>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La información que se solicita deberá ser proporcionada por el registrante, únicamente si ella es inherente al producto en evaluación. La falta de presentación de cualquier información deberá estar acompañada de una justificación técnica. Si la autoridad competente no lo aceptara, deberá fundamentarlo técnicamente.</w:t>
            </w:r>
          </w:p>
          <w:p w:rsidR="0089118E" w:rsidRPr="009D263B" w:rsidRDefault="0089118E" w:rsidP="00EA68B8">
            <w:pPr>
              <w:pStyle w:val="Sinespaciado"/>
              <w:spacing w:after="120"/>
              <w:contextualSpacing/>
              <w:jc w:val="both"/>
              <w:rPr>
                <w:rFonts w:ascii="Times New Roman" w:hAnsi="Times New Roman"/>
                <w:b/>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3.  COMPOSICIÓN  </w:t>
            </w:r>
          </w:p>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 Contenido de sustancia(s) activa(s) química(s), grado técnico (p/p o p/v expresado en %).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3.2.  Métodos de análisis para la determinación del contenido de sustancia activa.</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3.3.  Contenido y naturaleza de cada uno de los demás   componentes incluidos en la formulación.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4.  PROPIEDADES FÍSICAS Y QUÍMICAS (según Métodos Internacionalmente Reconocidos)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 xml:space="preserve">4.1. Aspecto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4.1.1.  Estado físico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4.1.2. Color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4.1.3. Olor</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4.2.  E</w:t>
            </w:r>
            <w:r>
              <w:rPr>
                <w:rFonts w:ascii="Times New Roman" w:hAnsi="Times New Roman"/>
                <w:sz w:val="20"/>
                <w:szCs w:val="20"/>
              </w:rPr>
              <w:t>stabilidad en el almacenamiento</w:t>
            </w:r>
            <w:r w:rsidRPr="009D263B">
              <w:rPr>
                <w:rFonts w:ascii="Times New Roman" w:hAnsi="Times New Roman"/>
                <w:sz w:val="20"/>
                <w:szCs w:val="20"/>
              </w:rPr>
              <w:t xml:space="preserve"> (respecto de su composición y a las propiedades físicas relacionadas con el uso).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4.3.  Densidad relativa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4.4. Inﬂamabilidad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4.4.1.  Para líquidos, punto de ignición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4.4.2.  Para sólidos, debe aclararse si el producto es o no inﬂamable.</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4.5.  Acidez/Alcalinidad y pH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4.6.  Propiedades explosivas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5.  PROPIEDADES FÍSICAS Y QUÍMICAS RELACIONADAS CON SU USO (Según M.I.R.).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  Humectabilidad (para polvos dispersables).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5.2.  Persistencia de espuma (para los formulados que se aplican con agua).</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5.3.  Suspensibilidad (para los polvos dispersables y los concentrados en suspensión).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5.4.  Análisis granulométrico en húmedo    (para los polvos dispersables y los concentrados en suspensión).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5.5.  Análisis granulométrico en seco (para gránulos y polvos).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lastRenderedPageBreak/>
              <w:t>5.6.  Estabilidad de la emulsión (para los concentrados emulsionables).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5.7.  Corrosividad.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5.8.  Incompatibilidad con otros productos.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5.9.  Densidad a 20ºC en g/ml (para formulaciones líquidas).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5.10.  Punto de ignición (aceites y soluciones).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5.11.  Viscosidad (para aceites, suspensiones y emulsiones).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5.12.  Índice de sulfonación (aceites).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5.13.  Dispersión (para gránulos dispersables).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5.14.  Desprendimiento de gas (sólo para generadores de gas).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5.15.  Soltura o ﬂuidez (para polvos secos).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5.16.  Índice de iodo e índice de saponificación (para aceites).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5.17.  Solubilidad/miscibilidad en agua.</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5.18.  Solubilidad/miscibilidad en solventes orgánicos.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5.19.  Tensión superficial de soluciones acuosas.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6.  DATOS SOBRE LA APLICACIÓN.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  Ámbito de aplicación (campo, invernáculo, etc).  </w:t>
            </w:r>
          </w:p>
          <w:p w:rsidR="0089118E" w:rsidRPr="009D263B" w:rsidRDefault="0089118E" w:rsidP="00EA68B8">
            <w:pPr>
              <w:pStyle w:val="Sinespaciado"/>
              <w:spacing w:after="120"/>
              <w:contextualSpacing/>
              <w:jc w:val="both"/>
              <w:rPr>
                <w:rFonts w:ascii="Times New Roman" w:hAnsi="Times New Roman"/>
                <w:b/>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6.2.  Efectos sobre las plagas y en los vegetales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6.3.  Condiciones en que el producto puede, o no, ser utilizado</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6.4. Dosis.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6.5.  Número y momentos de aplicación.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6.6.  Métodos de aplicación.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6.7.  Instrucciones de uso.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6.8.  Tiempo de reingreso al área tratada.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6.9.  Períodos de carencia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6.10.  Efectos sobre cultivos subsiguientes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6.11. Fitotoxicidad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6.12.  Estado de registro en la región del COSAVE y en otros países.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6.13.  Usos aprobados en la región del COSAVE y en otros países.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7.  ETIQUETADO </w:t>
            </w:r>
          </w:p>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Se basará en el ERPF 6.4.1: “Etiquetado de Productos Fitosanitarios Formulados”.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8.  ENVASES PROPUESTOS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 Envases </w:t>
            </w:r>
          </w:p>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8.1.1. Tipo(s)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8.1.2. Material(es)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8.1.3. Capacidad(es)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8.1.4. Resistencia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8.1.5.  Sistema de cierre.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8.2.  Acción del producto sobre el material de los envases.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lastRenderedPageBreak/>
              <w:t>8.3.  Procedimientos para la descontaminación y destino final de los envases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9.  DATOS SOBRE EL MANEJO DEL PRODUCTO.</w:t>
            </w:r>
            <w:r w:rsidRPr="009D263B">
              <w:rPr>
                <w:rFonts w:ascii="Times New Roman" w:hAnsi="Times New Roman"/>
                <w:sz w:val="20"/>
                <w:szCs w:val="20"/>
              </w:rPr>
              <w:t xml:space="preserve">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9.1.  Método de destrucción, eliminación o inutilización del producto.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9.2.  Identificación de los productos originados de la combustión (en caso de incendio).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9.3.  Procedimientos de limpieza y descontaminación de los equipos de aplicación.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7A0FDD" w:rsidRDefault="0089118E" w:rsidP="00EA68B8">
            <w:pPr>
              <w:pStyle w:val="Sinespaciado"/>
              <w:spacing w:after="120"/>
              <w:contextualSpacing/>
              <w:jc w:val="both"/>
              <w:rPr>
                <w:rFonts w:ascii="Times New Roman" w:hAnsi="Times New Roman"/>
                <w:b/>
                <w:sz w:val="20"/>
                <w:szCs w:val="20"/>
              </w:rPr>
            </w:pPr>
            <w:r w:rsidRPr="007A0FDD">
              <w:rPr>
                <w:rFonts w:ascii="Times New Roman" w:hAnsi="Times New Roman"/>
                <w:b/>
                <w:sz w:val="20"/>
                <w:szCs w:val="20"/>
              </w:rPr>
              <w:t xml:space="preserve">10.  DATOS TOXICOLÓGICOS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  Toxicidad aguda para mamíferos.   </w:t>
            </w:r>
          </w:p>
          <w:p w:rsidR="0089118E" w:rsidRPr="009D263B" w:rsidRDefault="0089118E" w:rsidP="00EA68B8">
            <w:pPr>
              <w:pStyle w:val="Sinespaciado"/>
              <w:spacing w:after="120"/>
              <w:contextualSpacing/>
              <w:jc w:val="both"/>
              <w:rPr>
                <w:rFonts w:ascii="Times New Roman" w:hAnsi="Times New Roman"/>
                <w:b/>
                <w:sz w:val="20"/>
                <w:szCs w:val="20"/>
              </w:rPr>
            </w:pPr>
            <w:bookmarkStart w:id="0" w:name="_GoBack"/>
            <w:r w:rsidRPr="009D263B">
              <w:rPr>
                <w:rFonts w:ascii="Times New Roman" w:hAnsi="Times New Roman"/>
                <w:sz w:val="20"/>
                <w:szCs w:val="20"/>
              </w:rPr>
              <w:t xml:space="preserve">10.1.1.  Oral   </w:t>
            </w:r>
            <w:bookmarkEnd w:id="0"/>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10.1.2. Dérmica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10.1.3. Inhalatoria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10.1.4.  Irritación cutánea y ocular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10.1.5.  Sensibilización cutánea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  Informaciones Médicas Obligatorias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10.2.1.  Diagnóstico y síntomas de intoxicación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10.2.2.  Tratamientos propuestos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10.2.3.  Primeros auxilios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10.2.4.  Antídoto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10.2.5.  Tratamiento Médico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10.3.  Informaciones Médicas Complementarias (cuando estén disponibles).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10.3.1.  Observación sobre la exposición de la población en general     y estudios epidemiológicos.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10.3.2.  Observación directa de casos clínicos, accidentales y deliberados.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11.  DATOS DE LOS EFECTOS SOBRE EL AMBIENTE.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11.1. Toxicidad aguda a organismos no objetivo.</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11.1.1.  Organismos acuáticos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11.1.2. Abejas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11.1.3. Aves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bl>
    <w:p w:rsidR="00656B8E" w:rsidRDefault="00656B8E" w:rsidP="00002058">
      <w:pPr>
        <w:pStyle w:val="Sinespaciado"/>
        <w:contextualSpacing/>
        <w:rPr>
          <w:rFonts w:ascii="Times New Roman" w:hAnsi="Times New Roman"/>
          <w:b/>
          <w:sz w:val="24"/>
          <w:szCs w:val="24"/>
        </w:rPr>
      </w:pPr>
    </w:p>
    <w:p w:rsidR="0089118E" w:rsidRDefault="0089118E" w:rsidP="00002058">
      <w:pPr>
        <w:pStyle w:val="Sinespaciado"/>
        <w:contextualSpacing/>
        <w:rPr>
          <w:rFonts w:ascii="Times New Roman" w:hAnsi="Times New Roman"/>
          <w:b/>
          <w:sz w:val="24"/>
          <w:szCs w:val="24"/>
        </w:rPr>
      </w:pPr>
    </w:p>
    <w:p w:rsidR="0089118E" w:rsidRDefault="0089118E" w:rsidP="00002058">
      <w:pPr>
        <w:pStyle w:val="Sinespaciado"/>
        <w:contextualSpacing/>
        <w:rPr>
          <w:rFonts w:ascii="Times New Roman" w:hAnsi="Times New Roman"/>
          <w:b/>
          <w:sz w:val="24"/>
          <w:szCs w:val="24"/>
        </w:rPr>
      </w:pPr>
    </w:p>
    <w:p w:rsidR="0089118E" w:rsidRDefault="0089118E" w:rsidP="00002058">
      <w:pPr>
        <w:pStyle w:val="Sinespaciado"/>
        <w:contextualSpacing/>
        <w:rPr>
          <w:rFonts w:ascii="Times New Roman" w:hAnsi="Times New Roman"/>
          <w:b/>
          <w:sz w:val="24"/>
          <w:szCs w:val="24"/>
        </w:rPr>
      </w:pPr>
    </w:p>
    <w:p w:rsidR="0089118E" w:rsidRDefault="0089118E" w:rsidP="00002058">
      <w:pPr>
        <w:pStyle w:val="Sinespaciado"/>
        <w:contextualSpacing/>
        <w:rPr>
          <w:rFonts w:ascii="Times New Roman" w:hAnsi="Times New Roman"/>
          <w:b/>
          <w:sz w:val="24"/>
          <w:szCs w:val="24"/>
        </w:rPr>
      </w:pPr>
    </w:p>
    <w:p w:rsidR="0089118E" w:rsidRPr="009D263B" w:rsidRDefault="0089118E"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656B8E" w:rsidRDefault="00656B8E" w:rsidP="00656B8E">
      <w:pPr>
        <w:pStyle w:val="Sinespaciado"/>
        <w:contextualSpacing/>
        <w:jc w:val="center"/>
        <w:rPr>
          <w:rFonts w:ascii="Times New Roman" w:hAnsi="Times New Roman"/>
          <w:b/>
          <w:sz w:val="24"/>
          <w:szCs w:val="24"/>
        </w:rPr>
      </w:pPr>
      <w:r>
        <w:rPr>
          <w:rFonts w:ascii="Times New Roman" w:hAnsi="Times New Roman"/>
          <w:b/>
          <w:sz w:val="24"/>
          <w:szCs w:val="24"/>
        </w:rPr>
        <w:t xml:space="preserve">                                                                                              </w:t>
      </w:r>
      <w:r w:rsidR="00002058" w:rsidRPr="009D263B">
        <w:rPr>
          <w:rFonts w:ascii="Times New Roman" w:hAnsi="Times New Roman"/>
          <w:b/>
          <w:sz w:val="24"/>
          <w:szCs w:val="24"/>
        </w:rPr>
        <w:t>-------------------------------</w:t>
      </w:r>
      <w:r>
        <w:rPr>
          <w:rFonts w:ascii="Times New Roman" w:hAnsi="Times New Roman"/>
          <w:b/>
          <w:sz w:val="24"/>
          <w:szCs w:val="24"/>
        </w:rPr>
        <w:t>-------</w:t>
      </w:r>
      <w:r w:rsidR="00002058" w:rsidRPr="009D263B">
        <w:rPr>
          <w:rFonts w:ascii="Times New Roman" w:hAnsi="Times New Roman"/>
          <w:b/>
          <w:sz w:val="24"/>
          <w:szCs w:val="24"/>
        </w:rPr>
        <w:t xml:space="preserve">               </w:t>
      </w:r>
      <w:r w:rsidR="00002058" w:rsidRPr="009D263B">
        <w:rPr>
          <w:rFonts w:ascii="Times New Roman" w:hAnsi="Times New Roman"/>
          <w:b/>
          <w:sz w:val="24"/>
          <w:szCs w:val="24"/>
        </w:rPr>
        <w:tab/>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Firma y Aclaración del</w:t>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Representante Legal</w:t>
      </w:r>
    </w:p>
    <w:p w:rsidR="00355CC1" w:rsidRPr="00464292" w:rsidRDefault="00355CC1" w:rsidP="00002058">
      <w:pPr>
        <w:spacing w:before="240"/>
        <w:ind w:hanging="142"/>
        <w:jc w:val="center"/>
        <w:rPr>
          <w:lang w:val="es-PY"/>
        </w:rPr>
      </w:pPr>
    </w:p>
    <w:sectPr w:rsidR="00355CC1" w:rsidRPr="00464292" w:rsidSect="00227AD8">
      <w:headerReference w:type="default" r:id="rId9"/>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EF9" w:rsidRDefault="008C7EF9" w:rsidP="00CF2CE6">
      <w:r>
        <w:separator/>
      </w:r>
    </w:p>
  </w:endnote>
  <w:endnote w:type="continuationSeparator" w:id="0">
    <w:p w:rsidR="008C7EF9" w:rsidRDefault="008C7EF9"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EF9" w:rsidRDefault="008C7EF9" w:rsidP="00CF2CE6">
      <w:r>
        <w:separator/>
      </w:r>
    </w:p>
  </w:footnote>
  <w:footnote w:type="continuationSeparator" w:id="0">
    <w:p w:rsidR="008C7EF9" w:rsidRDefault="008C7EF9" w:rsidP="00CF2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4" w:type="dxa"/>
      <w:tblInd w:w="-7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7"/>
      <w:gridCol w:w="5251"/>
      <w:gridCol w:w="3456"/>
    </w:tblGrid>
    <w:tr w:rsidR="00355CC1" w:rsidTr="006F325F">
      <w:trPr>
        <w:trHeight w:val="1142"/>
      </w:trPr>
      <w:tc>
        <w:tcPr>
          <w:tcW w:w="2147" w:type="dxa"/>
          <w:vAlign w:val="center"/>
        </w:tcPr>
        <w:p w:rsidR="00355CC1" w:rsidRPr="00B85585" w:rsidRDefault="00E17C11" w:rsidP="00E17C11">
          <w:pPr>
            <w:ind w:right="360"/>
            <w:jc w:val="center"/>
            <w:rPr>
              <w:rFonts w:ascii="Calibri" w:hAnsi="Calibri" w:cs="Arial"/>
              <w:lang w:val="es-PY"/>
            </w:rPr>
          </w:pPr>
          <w:r>
            <w:rPr>
              <w:rFonts w:ascii="Calibri" w:hAnsi="Calibri" w:cs="Arial"/>
              <w:noProof/>
            </w:rPr>
            <w:drawing>
              <wp:inline distT="0" distB="0" distL="0" distR="0" wp14:anchorId="4DFCE970">
                <wp:extent cx="1234554" cy="54292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894" cy="552750"/>
                        </a:xfrm>
                        <a:prstGeom prst="rect">
                          <a:avLst/>
                        </a:prstGeom>
                        <a:noFill/>
                      </pic:spPr>
                    </pic:pic>
                  </a:graphicData>
                </a:graphic>
              </wp:inline>
            </w:drawing>
          </w:r>
        </w:p>
      </w:tc>
      <w:tc>
        <w:tcPr>
          <w:tcW w:w="5251" w:type="dxa"/>
          <w:vAlign w:val="center"/>
        </w:tcPr>
        <w:p w:rsidR="00355CC1" w:rsidRPr="006F325F" w:rsidRDefault="0089118E" w:rsidP="00E17C11">
          <w:pPr>
            <w:jc w:val="center"/>
            <w:rPr>
              <w:rFonts w:ascii="Times New Roman" w:hAnsi="Times New Roman" w:cs="Times New Roman"/>
              <w:b/>
              <w:bCs/>
              <w:sz w:val="24"/>
              <w:szCs w:val="24"/>
            </w:rPr>
          </w:pPr>
          <w:r w:rsidRPr="00461E09">
            <w:rPr>
              <w:b/>
              <w:lang w:val="es-PY"/>
            </w:rPr>
            <w:t>ANEXO VIII</w:t>
          </w:r>
          <w:r w:rsidRPr="007A0FDD">
            <w:rPr>
              <w:b/>
              <w:lang w:val="es-PY"/>
            </w:rPr>
            <w:t>. INDICE.</w:t>
          </w:r>
          <w:r w:rsidRPr="00461E09">
            <w:rPr>
              <w:lang w:val="es-PY"/>
            </w:rPr>
            <w:t xml:space="preserve">   ESTUDIOS SOLICITADOS EN EL CUERPO III – CUERPO TÉCNICO, PARA EL REGISTRO DE PRODUCTO(S) FORMULADO(S) EN BASE A SUSTANCIA(S) ACTIVA(S) QUÍMICA GRADO TÉCNICO EQUIVALENTE(S).</w:t>
          </w:r>
        </w:p>
      </w:tc>
      <w:tc>
        <w:tcPr>
          <w:tcW w:w="3456" w:type="dxa"/>
        </w:tcPr>
        <w:p w:rsidR="00355CC1" w:rsidRPr="006F325F" w:rsidRDefault="00355CC1" w:rsidP="00CF2CE6">
          <w:pPr>
            <w:pStyle w:val="Ttulo8"/>
            <w:spacing w:before="0" w:after="0"/>
            <w:contextualSpacing/>
            <w:jc w:val="both"/>
            <w:rPr>
              <w:rFonts w:ascii="Times New Roman" w:hAnsi="Times New Roman"/>
              <w:i w:val="0"/>
            </w:rPr>
          </w:pPr>
          <w:r w:rsidRPr="006F325F">
            <w:rPr>
              <w:rFonts w:ascii="Times New Roman" w:hAnsi="Times New Roman"/>
              <w:b/>
              <w:i w:val="0"/>
              <w:lang w:val="es-PY"/>
            </w:rPr>
            <w:t>Código</w:t>
          </w:r>
          <w:r w:rsidRPr="006F325F">
            <w:rPr>
              <w:rFonts w:ascii="Times New Roman" w:hAnsi="Times New Roman"/>
              <w:b/>
              <w:i w:val="0"/>
            </w:rPr>
            <w:t xml:space="preserve">: </w:t>
          </w:r>
          <w:r w:rsidRPr="006F325F">
            <w:rPr>
              <w:rFonts w:ascii="Times New Roman" w:hAnsi="Times New Roman"/>
              <w:i w:val="0"/>
            </w:rPr>
            <w:t>FOR-DAG-0</w:t>
          </w:r>
          <w:r w:rsidR="0089118E">
            <w:rPr>
              <w:rFonts w:ascii="Times New Roman" w:hAnsi="Times New Roman"/>
              <w:i w:val="0"/>
            </w:rPr>
            <w:t>22</w:t>
          </w:r>
        </w:p>
        <w:p w:rsidR="00355CC1" w:rsidRPr="006F325F" w:rsidRDefault="00355CC1" w:rsidP="00CF2CE6">
          <w:pPr>
            <w:rPr>
              <w:rFonts w:ascii="Times New Roman" w:hAnsi="Times New Roman" w:cs="Times New Roman"/>
              <w:sz w:val="24"/>
              <w:szCs w:val="24"/>
            </w:rPr>
          </w:pPr>
          <w:r w:rsidRPr="006F325F">
            <w:rPr>
              <w:rFonts w:ascii="Times New Roman" w:hAnsi="Times New Roman" w:cs="Times New Roman"/>
              <w:b/>
              <w:sz w:val="24"/>
              <w:szCs w:val="24"/>
              <w:lang w:val="es-PY"/>
            </w:rPr>
            <w:t>Emisor:</w:t>
          </w:r>
          <w:r w:rsidRPr="006F325F">
            <w:rPr>
              <w:rFonts w:ascii="Times New Roman" w:hAnsi="Times New Roman" w:cs="Times New Roman"/>
              <w:sz w:val="24"/>
              <w:szCs w:val="24"/>
              <w:lang w:val="es-PY"/>
            </w:rPr>
            <w:t xml:space="preserve"> DAG</w:t>
          </w:r>
        </w:p>
        <w:p w:rsidR="00355CC1" w:rsidRPr="006F325F" w:rsidRDefault="00355CC1" w:rsidP="00CF2CE6">
          <w:pPr>
            <w:rPr>
              <w:rFonts w:ascii="Times New Roman" w:hAnsi="Times New Roman" w:cs="Times New Roman"/>
              <w:sz w:val="24"/>
              <w:szCs w:val="24"/>
              <w:lang w:val="es-PY"/>
            </w:rPr>
          </w:pPr>
          <w:r w:rsidRPr="006F325F">
            <w:rPr>
              <w:rFonts w:ascii="Times New Roman" w:hAnsi="Times New Roman" w:cs="Times New Roman"/>
              <w:b/>
              <w:bCs/>
              <w:sz w:val="24"/>
              <w:szCs w:val="24"/>
              <w:lang w:val="es-PY"/>
            </w:rPr>
            <w:t>Versión</w:t>
          </w:r>
          <w:r w:rsidRPr="006F325F">
            <w:rPr>
              <w:rFonts w:ascii="Times New Roman" w:hAnsi="Times New Roman" w:cs="Times New Roman"/>
              <w:sz w:val="24"/>
              <w:szCs w:val="24"/>
              <w:lang w:val="es-PY"/>
            </w:rPr>
            <w:t>: 0</w:t>
          </w:r>
          <w:r w:rsidR="00A71B8F" w:rsidRPr="006F325F">
            <w:rPr>
              <w:rFonts w:ascii="Times New Roman" w:hAnsi="Times New Roman" w:cs="Times New Roman"/>
              <w:sz w:val="24"/>
              <w:szCs w:val="24"/>
              <w:lang w:val="es-PY"/>
            </w:rPr>
            <w:t>1</w:t>
          </w:r>
        </w:p>
        <w:p w:rsidR="00355CC1" w:rsidRPr="006F325F" w:rsidRDefault="00355CC1" w:rsidP="00CF2CE6">
          <w:pPr>
            <w:contextualSpacing/>
            <w:rPr>
              <w:rFonts w:ascii="Times New Roman" w:hAnsi="Times New Roman" w:cs="Times New Roman"/>
              <w:sz w:val="24"/>
              <w:szCs w:val="24"/>
              <w:lang w:val="es-PY"/>
            </w:rPr>
          </w:pPr>
          <w:r w:rsidRPr="006F325F">
            <w:rPr>
              <w:rFonts w:ascii="Times New Roman" w:hAnsi="Times New Roman" w:cs="Times New Roman"/>
              <w:b/>
              <w:sz w:val="24"/>
              <w:szCs w:val="24"/>
              <w:lang w:val="es-PY"/>
            </w:rPr>
            <w:t xml:space="preserve">Vigente desde: </w:t>
          </w:r>
          <w:r w:rsidR="003533C4" w:rsidRPr="003533C4">
            <w:rPr>
              <w:rFonts w:ascii="Times New Roman" w:hAnsi="Times New Roman" w:cs="Times New Roman"/>
              <w:sz w:val="24"/>
              <w:szCs w:val="24"/>
              <w:lang w:val="es-PY"/>
            </w:rPr>
            <w:t>12</w:t>
          </w:r>
          <w:r w:rsidR="006F325F" w:rsidRPr="006F325F">
            <w:rPr>
              <w:rFonts w:ascii="Times New Roman" w:hAnsi="Times New Roman" w:cs="Times New Roman"/>
              <w:sz w:val="24"/>
              <w:szCs w:val="24"/>
              <w:lang w:val="es-PY"/>
            </w:rPr>
            <w:t>/12/2018</w:t>
          </w:r>
        </w:p>
        <w:p w:rsidR="00355CC1" w:rsidRPr="006F325F" w:rsidRDefault="00355CC1" w:rsidP="00CF2CE6">
          <w:pPr>
            <w:ind w:right="-63"/>
            <w:contextualSpacing/>
            <w:rPr>
              <w:rFonts w:ascii="Times New Roman" w:hAnsi="Times New Roman" w:cs="Times New Roman"/>
              <w:sz w:val="24"/>
              <w:szCs w:val="24"/>
              <w:lang w:val="es-PY"/>
            </w:rPr>
          </w:pPr>
          <w:r w:rsidRPr="006F325F">
            <w:rPr>
              <w:rFonts w:ascii="Times New Roman" w:hAnsi="Times New Roman" w:cs="Times New Roman"/>
              <w:b/>
              <w:bCs/>
              <w:snapToGrid w:val="0"/>
              <w:sz w:val="24"/>
              <w:szCs w:val="24"/>
              <w:lang w:val="es-PY"/>
            </w:rPr>
            <w:t>Página</w:t>
          </w:r>
          <w:r w:rsidRPr="006F325F">
            <w:rPr>
              <w:rFonts w:ascii="Times New Roman" w:hAnsi="Times New Roman" w:cs="Times New Roman"/>
              <w:snapToGrid w:val="0"/>
              <w:sz w:val="24"/>
              <w:szCs w:val="24"/>
              <w:lang w:val="es-PY"/>
            </w:rPr>
            <w:t xml:space="preserve"> :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PAGE </w:instrText>
          </w:r>
          <w:r w:rsidR="00193832" w:rsidRPr="006F325F">
            <w:rPr>
              <w:rStyle w:val="Nmerodepgina"/>
              <w:rFonts w:ascii="Times New Roman" w:hAnsi="Times New Roman" w:cs="Times New Roman"/>
              <w:sz w:val="24"/>
              <w:szCs w:val="24"/>
            </w:rPr>
            <w:fldChar w:fldCharType="separate"/>
          </w:r>
          <w:r w:rsidR="00843509">
            <w:rPr>
              <w:rStyle w:val="Nmerodepgina"/>
              <w:rFonts w:ascii="Times New Roman" w:hAnsi="Times New Roman" w:cs="Times New Roman"/>
              <w:noProof/>
              <w:sz w:val="24"/>
              <w:szCs w:val="24"/>
            </w:rPr>
            <w:t>1</w:t>
          </w:r>
          <w:r w:rsidR="00193832" w:rsidRPr="006F325F">
            <w:rPr>
              <w:rStyle w:val="Nmerodepgina"/>
              <w:rFonts w:ascii="Times New Roman" w:hAnsi="Times New Roman" w:cs="Times New Roman"/>
              <w:sz w:val="24"/>
              <w:szCs w:val="24"/>
            </w:rPr>
            <w:fldChar w:fldCharType="end"/>
          </w:r>
          <w:r w:rsidRPr="006F325F">
            <w:rPr>
              <w:rFonts w:ascii="Times New Roman" w:hAnsi="Times New Roman" w:cs="Times New Roman"/>
              <w:snapToGrid w:val="0"/>
              <w:sz w:val="24"/>
              <w:szCs w:val="24"/>
            </w:rPr>
            <w:t xml:space="preserve"> de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NUMPAGES </w:instrText>
          </w:r>
          <w:r w:rsidR="00193832" w:rsidRPr="006F325F">
            <w:rPr>
              <w:rStyle w:val="Nmerodepgina"/>
              <w:rFonts w:ascii="Times New Roman" w:hAnsi="Times New Roman" w:cs="Times New Roman"/>
              <w:sz w:val="24"/>
              <w:szCs w:val="24"/>
            </w:rPr>
            <w:fldChar w:fldCharType="separate"/>
          </w:r>
          <w:r w:rsidR="00843509">
            <w:rPr>
              <w:rStyle w:val="Nmerodepgina"/>
              <w:rFonts w:ascii="Times New Roman" w:hAnsi="Times New Roman" w:cs="Times New Roman"/>
              <w:noProof/>
              <w:sz w:val="24"/>
              <w:szCs w:val="24"/>
            </w:rPr>
            <w:t>3</w:t>
          </w:r>
          <w:r w:rsidR="00193832" w:rsidRPr="006F325F">
            <w:rPr>
              <w:rStyle w:val="Nmerodepgina"/>
              <w:rFonts w:ascii="Times New Roman" w:hAnsi="Times New Roman" w:cs="Times New Roman"/>
              <w:sz w:val="24"/>
              <w:szCs w:val="24"/>
            </w:rPr>
            <w:fldChar w:fldCharType="end"/>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cumentProtection w:edit="trackedChanges" w:enforcement="1" w:cryptProviderType="rsaFull" w:cryptAlgorithmClass="hash" w:cryptAlgorithmType="typeAny" w:cryptAlgorithmSid="4" w:cryptSpinCount="100000" w:hash="R5eJ5fAgcT3cAC9sWdSgeZAf2Ns=" w:salt="OEvNNFaHkfHe04vfeBupz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E6"/>
    <w:rsid w:val="00002058"/>
    <w:rsid w:val="000312BA"/>
    <w:rsid w:val="0010799E"/>
    <w:rsid w:val="00192F9A"/>
    <w:rsid w:val="00193832"/>
    <w:rsid w:val="00193A6A"/>
    <w:rsid w:val="00227AD8"/>
    <w:rsid w:val="002A303B"/>
    <w:rsid w:val="002D2DFE"/>
    <w:rsid w:val="00326801"/>
    <w:rsid w:val="00327F4D"/>
    <w:rsid w:val="003533C4"/>
    <w:rsid w:val="00355CC1"/>
    <w:rsid w:val="00406C3E"/>
    <w:rsid w:val="004150DD"/>
    <w:rsid w:val="00427806"/>
    <w:rsid w:val="00464292"/>
    <w:rsid w:val="004B43A7"/>
    <w:rsid w:val="00570463"/>
    <w:rsid w:val="005F7A4C"/>
    <w:rsid w:val="00604C91"/>
    <w:rsid w:val="00641F21"/>
    <w:rsid w:val="00656B8E"/>
    <w:rsid w:val="006F325F"/>
    <w:rsid w:val="00752686"/>
    <w:rsid w:val="00776891"/>
    <w:rsid w:val="00843509"/>
    <w:rsid w:val="0089118E"/>
    <w:rsid w:val="008C7EF9"/>
    <w:rsid w:val="00947AA0"/>
    <w:rsid w:val="00961A8C"/>
    <w:rsid w:val="009E486D"/>
    <w:rsid w:val="009F6180"/>
    <w:rsid w:val="00A122E2"/>
    <w:rsid w:val="00A27AE3"/>
    <w:rsid w:val="00A71B8F"/>
    <w:rsid w:val="00AC5BA3"/>
    <w:rsid w:val="00AE15EA"/>
    <w:rsid w:val="00BC45D2"/>
    <w:rsid w:val="00C6289B"/>
    <w:rsid w:val="00CF2CE6"/>
    <w:rsid w:val="00D67534"/>
    <w:rsid w:val="00DD1EC7"/>
    <w:rsid w:val="00E17C11"/>
    <w:rsid w:val="00E56FDA"/>
    <w:rsid w:val="00EF4621"/>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1DBDF-23A3-4829-92FD-588D25C24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4369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Alberto</cp:lastModifiedBy>
  <cp:revision>2</cp:revision>
  <cp:lastPrinted>2018-05-10T13:52:00Z</cp:lastPrinted>
  <dcterms:created xsi:type="dcterms:W3CDTF">2019-01-10T13:51:00Z</dcterms:created>
  <dcterms:modified xsi:type="dcterms:W3CDTF">2019-01-10T13:51:00Z</dcterms:modified>
</cp:coreProperties>
</file>